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B2F29" w14:textId="6F6AE5CF" w:rsidR="009A6C01" w:rsidRDefault="009A6C01" w:rsidP="003B39B3"/>
    <w:p w14:paraId="597A74B5" w14:textId="289CE74C" w:rsidR="007643E8" w:rsidRDefault="00A86C96" w:rsidP="007643E8">
      <w:pPr>
        <w:jc w:val="right"/>
      </w:pPr>
      <w:r>
        <w:t>23</w:t>
      </w:r>
      <w:r w:rsidR="007643E8">
        <w:t xml:space="preserve">. </w:t>
      </w:r>
      <w:r w:rsidR="0005747A">
        <w:t>4</w:t>
      </w:r>
      <w:r w:rsidR="007643E8">
        <w:t>. 202</w:t>
      </w:r>
      <w:r w:rsidR="0005747A">
        <w:t>4</w:t>
      </w:r>
    </w:p>
    <w:p w14:paraId="1CE469D5" w14:textId="77777777" w:rsidR="007643E8" w:rsidRPr="007643E8" w:rsidRDefault="007643E8" w:rsidP="007643E8">
      <w:pPr>
        <w:jc w:val="both"/>
        <w:rPr>
          <w:b/>
          <w:bCs/>
        </w:rPr>
      </w:pPr>
    </w:p>
    <w:p w14:paraId="3073185D" w14:textId="2029EF45" w:rsidR="007643E8" w:rsidRDefault="0005747A" w:rsidP="007643E8">
      <w:pPr>
        <w:pStyle w:val="Nzev"/>
        <w:rPr>
          <w:sz w:val="44"/>
          <w:szCs w:val="44"/>
        </w:rPr>
      </w:pPr>
      <w:r w:rsidRPr="0005747A">
        <w:rPr>
          <w:sz w:val="44"/>
          <w:szCs w:val="44"/>
        </w:rPr>
        <w:t xml:space="preserve">Elektřina i plyn hluboko pod cenou tradičních produktů na neurčito i fixací. LAMA </w:t>
      </w:r>
      <w:proofErr w:type="spellStart"/>
      <w:r w:rsidRPr="0005747A">
        <w:rPr>
          <w:sz w:val="44"/>
          <w:szCs w:val="44"/>
        </w:rPr>
        <w:t>energy</w:t>
      </w:r>
      <w:proofErr w:type="spellEnd"/>
      <w:r w:rsidRPr="0005747A">
        <w:rPr>
          <w:sz w:val="44"/>
          <w:szCs w:val="44"/>
        </w:rPr>
        <w:t xml:space="preserve"> nabízí výhodný měsíční tarif</w:t>
      </w:r>
    </w:p>
    <w:p w14:paraId="58F03506" w14:textId="77777777" w:rsidR="007643E8" w:rsidRPr="007643E8" w:rsidRDefault="007643E8" w:rsidP="0005747A">
      <w:pPr>
        <w:jc w:val="both"/>
      </w:pPr>
    </w:p>
    <w:p w14:paraId="0EE1FAB3" w14:textId="1ACAD831" w:rsidR="0005747A" w:rsidRPr="002A536A" w:rsidRDefault="0005747A" w:rsidP="0005747A">
      <w:pPr>
        <w:jc w:val="both"/>
        <w:rPr>
          <w:rFonts w:ascii="Calibri" w:hAnsi="Calibri" w:cs="Calibri"/>
          <w:b/>
          <w:bCs/>
        </w:rPr>
      </w:pPr>
      <w:r w:rsidRPr="002A536A">
        <w:rPr>
          <w:rFonts w:ascii="Calibri" w:hAnsi="Calibri" w:cs="Calibri"/>
          <w:b/>
          <w:bCs/>
        </w:rPr>
        <w:t xml:space="preserve">Jak efektivně snížit výdaje na energie? LAMA </w:t>
      </w:r>
      <w:proofErr w:type="spellStart"/>
      <w:r w:rsidRPr="002A536A">
        <w:rPr>
          <w:rFonts w:ascii="Calibri" w:hAnsi="Calibri" w:cs="Calibri"/>
          <w:b/>
          <w:bCs/>
        </w:rPr>
        <w:t>energy</w:t>
      </w:r>
      <w:proofErr w:type="spellEnd"/>
      <w:r w:rsidRPr="002A536A">
        <w:rPr>
          <w:rFonts w:ascii="Calibri" w:hAnsi="Calibri" w:cs="Calibri"/>
          <w:b/>
          <w:bCs/>
        </w:rPr>
        <w:t xml:space="preserve"> je jedním z dodavatelů, který už téměř rok nabízí u elektřiny a zemního plynu měsíční tarify. Její produkt Garant měsíc pro zákazníky generuje, ve srovnání se standardními tarify, velmi zajímavé úspory. Za prvních šest měsíců roku 2024, kdy jsou ceny tohoto produktu známé, se drží hluboko pod cenami, které nabízejí dodavatelé ve smlouvách </w:t>
      </w:r>
      <w:r>
        <w:rPr>
          <w:rFonts w:ascii="Calibri" w:hAnsi="Calibri" w:cs="Calibri"/>
          <w:b/>
          <w:bCs/>
        </w:rPr>
        <w:t xml:space="preserve">uzavřenými </w:t>
      </w:r>
      <w:r w:rsidRPr="002A536A">
        <w:rPr>
          <w:rFonts w:ascii="Calibri" w:hAnsi="Calibri" w:cs="Calibri"/>
          <w:b/>
          <w:bCs/>
        </w:rPr>
        <w:t>na dobu neurčitou i pod fixními tarify.</w:t>
      </w:r>
    </w:p>
    <w:p w14:paraId="0E5B5057" w14:textId="77777777" w:rsidR="0005747A" w:rsidRPr="002A536A" w:rsidRDefault="0005747A" w:rsidP="0005747A">
      <w:pPr>
        <w:jc w:val="both"/>
        <w:rPr>
          <w:rFonts w:ascii="Calibri" w:hAnsi="Calibri" w:cs="Calibri"/>
        </w:rPr>
      </w:pPr>
      <w:r w:rsidRPr="002A536A">
        <w:rPr>
          <w:rFonts w:ascii="Calibri" w:hAnsi="Calibri" w:cs="Calibri"/>
        </w:rPr>
        <w:t xml:space="preserve">Zatímco průměrná cena za 1 </w:t>
      </w:r>
      <w:proofErr w:type="spellStart"/>
      <w:r w:rsidRPr="002A536A">
        <w:rPr>
          <w:rFonts w:ascii="Calibri" w:hAnsi="Calibri" w:cs="Calibri"/>
        </w:rPr>
        <w:t>MWh</w:t>
      </w:r>
      <w:proofErr w:type="spellEnd"/>
      <w:r w:rsidRPr="002A536A">
        <w:rPr>
          <w:rFonts w:ascii="Calibri" w:hAnsi="Calibri" w:cs="Calibri"/>
        </w:rPr>
        <w:t xml:space="preserve"> silové elektřiny u tarifu Garant měsíc je 2805 korun včetně DPH, u základního tarifu dominantního dodavatele, společnosti ČEZ, činí cena bez fixace 4792 Kč a u dvouleté fixace aktuálně 4344 Kč včetně DPH. Rozdíl je tedy markantní. U zemního plynu nejsou rozdíly tak výrazné, ale zejména pro domácnosti, které plynem topí, je úspora rovněž významná. Bonusem produktu Garant měsíc je, že je možné jej kdykoli opustit, kombinuje tedy výhody tarifu bez závazků s výhodnými cenami.</w:t>
      </w:r>
    </w:p>
    <w:p w14:paraId="6025CCA1" w14:textId="77777777" w:rsidR="0005747A" w:rsidRPr="002A536A" w:rsidRDefault="0005747A" w:rsidP="0005747A">
      <w:pPr>
        <w:jc w:val="both"/>
        <w:rPr>
          <w:rFonts w:ascii="Calibri" w:hAnsi="Calibri" w:cs="Calibri"/>
        </w:rPr>
      </w:pPr>
      <w:r w:rsidRPr="002A536A">
        <w:rPr>
          <w:rFonts w:ascii="Calibri" w:hAnsi="Calibri" w:cs="Calibri"/>
        </w:rPr>
        <w:t xml:space="preserve">Jaká je cenotvorba u tarifu Garant měsíc? Cena komodity, za kterou zákazník platí, je odvozena od částky, za kterou se zemní plyn či elektřina obchoduje na burze desátého kalendářního dne dva měsíce před zahájením dodávky pro příslušný měsíc. 11. dubna tedy byla stanovena cena, která bude platit po celý červen. Na webových stránkách LAMA </w:t>
      </w:r>
      <w:proofErr w:type="spellStart"/>
      <w:r w:rsidRPr="002A536A">
        <w:rPr>
          <w:rFonts w:ascii="Calibri" w:hAnsi="Calibri" w:cs="Calibri"/>
        </w:rPr>
        <w:t>energy</w:t>
      </w:r>
      <w:proofErr w:type="spellEnd"/>
      <w:r w:rsidRPr="002A536A">
        <w:rPr>
          <w:rFonts w:ascii="Calibri" w:hAnsi="Calibri" w:cs="Calibri"/>
        </w:rPr>
        <w:t xml:space="preserve"> je v přehledné tabulce stanoven celý proces tvorby ceny jak u </w:t>
      </w:r>
      <w:hyperlink r:id="rId8" w:history="1">
        <w:r w:rsidRPr="002A536A">
          <w:rPr>
            <w:rStyle w:val="Hypertextovodkaz"/>
            <w:rFonts w:ascii="Calibri" w:hAnsi="Calibri" w:cs="Calibri"/>
          </w:rPr>
          <w:t>elektřiny</w:t>
        </w:r>
      </w:hyperlink>
      <w:r w:rsidRPr="002A536A">
        <w:rPr>
          <w:rFonts w:ascii="Calibri" w:hAnsi="Calibri" w:cs="Calibri"/>
        </w:rPr>
        <w:t xml:space="preserve">, tak u </w:t>
      </w:r>
      <w:hyperlink r:id="rId9" w:history="1">
        <w:r w:rsidRPr="002A536A">
          <w:rPr>
            <w:rStyle w:val="Hypertextovodkaz"/>
            <w:rFonts w:ascii="Calibri" w:hAnsi="Calibri" w:cs="Calibri"/>
          </w:rPr>
          <w:t>zemního plynu</w:t>
        </w:r>
      </w:hyperlink>
      <w:r w:rsidRPr="002A536A">
        <w:rPr>
          <w:rFonts w:ascii="Calibri" w:hAnsi="Calibri" w:cs="Calibri"/>
        </w:rPr>
        <w:t xml:space="preserve">. Týká se samozřejmě té části ceny, která se platí za komoditu, tedy bez distribučních poplatků. </w:t>
      </w:r>
    </w:p>
    <w:p w14:paraId="25283114" w14:textId="77777777" w:rsidR="0005747A" w:rsidRPr="002A536A" w:rsidRDefault="0005747A" w:rsidP="0005747A">
      <w:pPr>
        <w:rPr>
          <w:rFonts w:ascii="Calibri" w:hAnsi="Calibri" w:cs="Calibri"/>
          <w:b/>
          <w:bCs/>
        </w:rPr>
      </w:pPr>
      <w:r w:rsidRPr="002A536A">
        <w:rPr>
          <w:rFonts w:ascii="Calibri" w:hAnsi="Calibri" w:cs="Calibri"/>
          <w:b/>
          <w:bCs/>
        </w:rPr>
        <w:t>Srovnání Cen elektřiny a zemního plynu produktu Garant měsíc s dalšími dodavateli</w:t>
      </w:r>
    </w:p>
    <w:tbl>
      <w:tblPr>
        <w:tblStyle w:val="Mkatabulky"/>
        <w:tblW w:w="0" w:type="auto"/>
        <w:tblLook w:val="04A0" w:firstRow="1" w:lastRow="0" w:firstColumn="1" w:lastColumn="0" w:noHBand="0" w:noVBand="1"/>
      </w:tblPr>
      <w:tblGrid>
        <w:gridCol w:w="5807"/>
        <w:gridCol w:w="2268"/>
        <w:gridCol w:w="2268"/>
      </w:tblGrid>
      <w:tr w:rsidR="0005747A" w:rsidRPr="002A536A" w14:paraId="0C756D98" w14:textId="77777777" w:rsidTr="00337BE8">
        <w:tc>
          <w:tcPr>
            <w:tcW w:w="5807" w:type="dxa"/>
            <w:shd w:val="solid" w:color="F7CAAC" w:themeColor="accent2" w:themeTint="66" w:fill="auto"/>
          </w:tcPr>
          <w:p w14:paraId="11EF9805" w14:textId="57D1E442" w:rsidR="0005747A" w:rsidRPr="002A536A" w:rsidRDefault="0005747A" w:rsidP="002A2264">
            <w:pPr>
              <w:rPr>
                <w:rFonts w:ascii="Calibri" w:hAnsi="Calibri" w:cs="Calibri"/>
                <w:b/>
                <w:bCs/>
              </w:rPr>
            </w:pPr>
            <w:r w:rsidRPr="002A536A">
              <w:rPr>
                <w:rFonts w:ascii="Calibri" w:hAnsi="Calibri" w:cs="Calibri"/>
                <w:b/>
                <w:bCs/>
              </w:rPr>
              <w:t xml:space="preserve">Dodavatel </w:t>
            </w:r>
            <w:r w:rsidR="00A86C96">
              <w:rPr>
                <w:rFonts w:ascii="Calibri" w:hAnsi="Calibri" w:cs="Calibri"/>
                <w:b/>
                <w:bCs/>
              </w:rPr>
              <w:t>–</w:t>
            </w:r>
            <w:r w:rsidRPr="002A536A">
              <w:rPr>
                <w:rFonts w:ascii="Calibri" w:hAnsi="Calibri" w:cs="Calibri"/>
                <w:b/>
                <w:bCs/>
              </w:rPr>
              <w:t xml:space="preserve"> produkt</w:t>
            </w:r>
          </w:p>
        </w:tc>
        <w:tc>
          <w:tcPr>
            <w:tcW w:w="2268" w:type="dxa"/>
            <w:shd w:val="solid" w:color="F7CAAC" w:themeColor="accent2" w:themeTint="66" w:fill="auto"/>
          </w:tcPr>
          <w:p w14:paraId="2FA7C3CC" w14:textId="77777777" w:rsidR="0005747A" w:rsidRPr="002A536A" w:rsidRDefault="0005747A" w:rsidP="002A2264">
            <w:pPr>
              <w:rPr>
                <w:rFonts w:ascii="Calibri" w:hAnsi="Calibri" w:cs="Calibri"/>
                <w:b/>
                <w:bCs/>
              </w:rPr>
            </w:pPr>
            <w:r w:rsidRPr="002A536A">
              <w:rPr>
                <w:rFonts w:ascii="Calibri" w:hAnsi="Calibri" w:cs="Calibri"/>
                <w:b/>
                <w:bCs/>
              </w:rPr>
              <w:t>Elektřina</w:t>
            </w:r>
          </w:p>
          <w:p w14:paraId="520F23A1" w14:textId="77777777" w:rsidR="0005747A" w:rsidRPr="002A536A" w:rsidRDefault="0005747A" w:rsidP="002A2264">
            <w:pPr>
              <w:rPr>
                <w:rFonts w:ascii="Calibri" w:hAnsi="Calibri" w:cs="Calibri"/>
              </w:rPr>
            </w:pPr>
            <w:r w:rsidRPr="002A536A">
              <w:rPr>
                <w:rFonts w:ascii="Calibri" w:hAnsi="Calibri" w:cs="Calibri"/>
              </w:rPr>
              <w:t xml:space="preserve">Cena v Kč za </w:t>
            </w:r>
            <w:r w:rsidRPr="002A536A">
              <w:rPr>
                <w:rFonts w:ascii="Calibri" w:hAnsi="Calibri" w:cs="Calibri"/>
              </w:rPr>
              <w:br/>
              <w:t xml:space="preserve">1 </w:t>
            </w:r>
            <w:proofErr w:type="spellStart"/>
            <w:r w:rsidRPr="002A536A">
              <w:rPr>
                <w:rFonts w:ascii="Calibri" w:hAnsi="Calibri" w:cs="Calibri"/>
              </w:rPr>
              <w:t>MWh</w:t>
            </w:r>
            <w:proofErr w:type="spellEnd"/>
            <w:r w:rsidRPr="002A536A">
              <w:rPr>
                <w:rFonts w:ascii="Calibri" w:hAnsi="Calibri" w:cs="Calibri"/>
              </w:rPr>
              <w:t xml:space="preserve"> vč. DPH</w:t>
            </w:r>
          </w:p>
        </w:tc>
        <w:tc>
          <w:tcPr>
            <w:tcW w:w="2268" w:type="dxa"/>
            <w:shd w:val="solid" w:color="F7CAAC" w:themeColor="accent2" w:themeTint="66" w:fill="auto"/>
          </w:tcPr>
          <w:p w14:paraId="29D6AC02" w14:textId="77777777" w:rsidR="0005747A" w:rsidRPr="002A536A" w:rsidRDefault="0005747A" w:rsidP="002A2264">
            <w:pPr>
              <w:rPr>
                <w:rFonts w:ascii="Calibri" w:hAnsi="Calibri" w:cs="Calibri"/>
                <w:b/>
                <w:bCs/>
              </w:rPr>
            </w:pPr>
            <w:r w:rsidRPr="002A536A">
              <w:rPr>
                <w:rFonts w:ascii="Calibri" w:hAnsi="Calibri" w:cs="Calibri"/>
                <w:b/>
                <w:bCs/>
              </w:rPr>
              <w:t>Zemní plyn</w:t>
            </w:r>
          </w:p>
          <w:p w14:paraId="2B919E5F" w14:textId="77777777" w:rsidR="0005747A" w:rsidRPr="002A536A" w:rsidRDefault="0005747A" w:rsidP="002A2264">
            <w:pPr>
              <w:rPr>
                <w:rFonts w:ascii="Calibri" w:hAnsi="Calibri" w:cs="Calibri"/>
              </w:rPr>
            </w:pPr>
            <w:r w:rsidRPr="002A536A">
              <w:rPr>
                <w:rFonts w:ascii="Calibri" w:hAnsi="Calibri" w:cs="Calibri"/>
              </w:rPr>
              <w:t xml:space="preserve">Cena v Kč za </w:t>
            </w:r>
            <w:r w:rsidRPr="002A536A">
              <w:rPr>
                <w:rFonts w:ascii="Calibri" w:hAnsi="Calibri" w:cs="Calibri"/>
              </w:rPr>
              <w:br/>
              <w:t>1MWh vč. DPH</w:t>
            </w:r>
          </w:p>
        </w:tc>
      </w:tr>
      <w:tr w:rsidR="0005747A" w:rsidRPr="002A536A" w14:paraId="1FC14E7C" w14:textId="77777777" w:rsidTr="00337BE8">
        <w:tc>
          <w:tcPr>
            <w:tcW w:w="5807" w:type="dxa"/>
          </w:tcPr>
          <w:p w14:paraId="0FFA13D9" w14:textId="77777777" w:rsidR="0005747A" w:rsidRPr="002A536A" w:rsidRDefault="0005747A" w:rsidP="002A2264">
            <w:pPr>
              <w:rPr>
                <w:rFonts w:ascii="Calibri" w:hAnsi="Calibri" w:cs="Calibri"/>
              </w:rPr>
            </w:pPr>
            <w:r w:rsidRPr="002A536A">
              <w:rPr>
                <w:rFonts w:ascii="Calibri" w:hAnsi="Calibri" w:cs="Calibri"/>
              </w:rPr>
              <w:t xml:space="preserve">LAMA </w:t>
            </w:r>
            <w:proofErr w:type="spellStart"/>
            <w:r w:rsidRPr="002A536A">
              <w:rPr>
                <w:rFonts w:ascii="Calibri" w:hAnsi="Calibri" w:cs="Calibri"/>
              </w:rPr>
              <w:t>energy</w:t>
            </w:r>
            <w:proofErr w:type="spellEnd"/>
            <w:r w:rsidRPr="002A536A">
              <w:rPr>
                <w:rFonts w:ascii="Calibri" w:hAnsi="Calibri" w:cs="Calibri"/>
              </w:rPr>
              <w:t xml:space="preserve"> – Garant měsíc</w:t>
            </w:r>
          </w:p>
        </w:tc>
        <w:tc>
          <w:tcPr>
            <w:tcW w:w="2268" w:type="dxa"/>
          </w:tcPr>
          <w:p w14:paraId="07D82515" w14:textId="77777777" w:rsidR="0005747A" w:rsidRPr="002A536A" w:rsidRDefault="0005747A" w:rsidP="002A2264">
            <w:pPr>
              <w:jc w:val="center"/>
              <w:rPr>
                <w:rFonts w:ascii="Calibri" w:hAnsi="Calibri" w:cs="Calibri"/>
              </w:rPr>
            </w:pPr>
            <w:r w:rsidRPr="002A536A">
              <w:rPr>
                <w:rFonts w:ascii="Calibri" w:hAnsi="Calibri" w:cs="Calibri"/>
              </w:rPr>
              <w:t>2805</w:t>
            </w:r>
          </w:p>
        </w:tc>
        <w:tc>
          <w:tcPr>
            <w:tcW w:w="2268" w:type="dxa"/>
          </w:tcPr>
          <w:p w14:paraId="0A13416B" w14:textId="77777777" w:rsidR="0005747A" w:rsidRPr="002A536A" w:rsidRDefault="0005747A" w:rsidP="002A2264">
            <w:pPr>
              <w:jc w:val="center"/>
              <w:rPr>
                <w:rFonts w:ascii="Calibri" w:hAnsi="Calibri" w:cs="Calibri"/>
              </w:rPr>
            </w:pPr>
            <w:r w:rsidRPr="002A536A">
              <w:rPr>
                <w:rFonts w:ascii="Calibri" w:hAnsi="Calibri" w:cs="Calibri"/>
              </w:rPr>
              <w:t>1411</w:t>
            </w:r>
          </w:p>
        </w:tc>
      </w:tr>
      <w:tr w:rsidR="0005747A" w:rsidRPr="002A536A" w14:paraId="46A712EE" w14:textId="77777777" w:rsidTr="00337BE8">
        <w:tc>
          <w:tcPr>
            <w:tcW w:w="5807" w:type="dxa"/>
          </w:tcPr>
          <w:p w14:paraId="55ECAFC1" w14:textId="77777777" w:rsidR="0005747A" w:rsidRPr="002A536A" w:rsidRDefault="0005747A" w:rsidP="002A2264">
            <w:pPr>
              <w:rPr>
                <w:rFonts w:ascii="Calibri" w:hAnsi="Calibri" w:cs="Calibri"/>
              </w:rPr>
            </w:pPr>
            <w:r w:rsidRPr="002A536A">
              <w:rPr>
                <w:rFonts w:ascii="Calibri" w:hAnsi="Calibri" w:cs="Calibri"/>
              </w:rPr>
              <w:t xml:space="preserve">PRE – proud/plyn </w:t>
            </w:r>
            <w:proofErr w:type="spellStart"/>
            <w:r w:rsidRPr="002A536A">
              <w:rPr>
                <w:rFonts w:ascii="Calibri" w:hAnsi="Calibri" w:cs="Calibri"/>
              </w:rPr>
              <w:t>nefix</w:t>
            </w:r>
            <w:proofErr w:type="spellEnd"/>
          </w:p>
        </w:tc>
        <w:tc>
          <w:tcPr>
            <w:tcW w:w="2268" w:type="dxa"/>
          </w:tcPr>
          <w:p w14:paraId="741F6E9B" w14:textId="77777777" w:rsidR="0005747A" w:rsidRPr="002A536A" w:rsidRDefault="0005747A" w:rsidP="002A2264">
            <w:pPr>
              <w:jc w:val="center"/>
              <w:rPr>
                <w:rFonts w:ascii="Calibri" w:hAnsi="Calibri" w:cs="Calibri"/>
              </w:rPr>
            </w:pPr>
            <w:r w:rsidRPr="002A536A">
              <w:rPr>
                <w:rFonts w:ascii="Calibri" w:hAnsi="Calibri" w:cs="Calibri"/>
              </w:rPr>
              <w:t>5628</w:t>
            </w:r>
          </w:p>
        </w:tc>
        <w:tc>
          <w:tcPr>
            <w:tcW w:w="2268" w:type="dxa"/>
          </w:tcPr>
          <w:p w14:paraId="74E314EF" w14:textId="77777777" w:rsidR="0005747A" w:rsidRPr="002A536A" w:rsidRDefault="0005747A" w:rsidP="002A2264">
            <w:pPr>
              <w:jc w:val="center"/>
              <w:rPr>
                <w:rFonts w:ascii="Calibri" w:hAnsi="Calibri" w:cs="Calibri"/>
              </w:rPr>
            </w:pPr>
            <w:r w:rsidRPr="002A536A">
              <w:rPr>
                <w:rFonts w:ascii="Calibri" w:hAnsi="Calibri" w:cs="Calibri"/>
              </w:rPr>
              <w:t>3024</w:t>
            </w:r>
          </w:p>
        </w:tc>
      </w:tr>
      <w:tr w:rsidR="0005747A" w:rsidRPr="002A536A" w14:paraId="1E470C5C" w14:textId="77777777" w:rsidTr="00337BE8">
        <w:tc>
          <w:tcPr>
            <w:tcW w:w="5807" w:type="dxa"/>
          </w:tcPr>
          <w:p w14:paraId="128E02EA" w14:textId="77777777" w:rsidR="0005747A" w:rsidRPr="002A536A" w:rsidRDefault="0005747A" w:rsidP="002A2264">
            <w:pPr>
              <w:rPr>
                <w:rFonts w:ascii="Calibri" w:hAnsi="Calibri" w:cs="Calibri"/>
              </w:rPr>
            </w:pPr>
            <w:r w:rsidRPr="002A536A">
              <w:rPr>
                <w:rFonts w:ascii="Calibri" w:hAnsi="Calibri" w:cs="Calibri"/>
              </w:rPr>
              <w:t>Innogy – elektřina/plyn standard</w:t>
            </w:r>
          </w:p>
        </w:tc>
        <w:tc>
          <w:tcPr>
            <w:tcW w:w="2268" w:type="dxa"/>
          </w:tcPr>
          <w:p w14:paraId="6D12854D" w14:textId="77777777" w:rsidR="0005747A" w:rsidRPr="002A536A" w:rsidRDefault="0005747A" w:rsidP="002A2264">
            <w:pPr>
              <w:jc w:val="center"/>
              <w:rPr>
                <w:rFonts w:ascii="Calibri" w:hAnsi="Calibri" w:cs="Calibri"/>
              </w:rPr>
            </w:pPr>
            <w:r w:rsidRPr="002A536A">
              <w:rPr>
                <w:rFonts w:ascii="Calibri" w:hAnsi="Calibri" w:cs="Calibri"/>
              </w:rPr>
              <w:t>5111</w:t>
            </w:r>
          </w:p>
        </w:tc>
        <w:tc>
          <w:tcPr>
            <w:tcW w:w="2268" w:type="dxa"/>
          </w:tcPr>
          <w:p w14:paraId="7A90C0F2" w14:textId="77777777" w:rsidR="0005747A" w:rsidRPr="002A536A" w:rsidRDefault="0005747A" w:rsidP="002A2264">
            <w:pPr>
              <w:jc w:val="center"/>
              <w:rPr>
                <w:rFonts w:ascii="Calibri" w:hAnsi="Calibri" w:cs="Calibri"/>
              </w:rPr>
            </w:pPr>
            <w:r w:rsidRPr="002A536A">
              <w:rPr>
                <w:rFonts w:ascii="Calibri" w:hAnsi="Calibri" w:cs="Calibri"/>
              </w:rPr>
              <w:t>2481</w:t>
            </w:r>
          </w:p>
        </w:tc>
      </w:tr>
      <w:tr w:rsidR="0005747A" w:rsidRPr="002A536A" w14:paraId="2A1F97FC" w14:textId="77777777" w:rsidTr="00337BE8">
        <w:tc>
          <w:tcPr>
            <w:tcW w:w="5807" w:type="dxa"/>
          </w:tcPr>
          <w:p w14:paraId="26B1F66C" w14:textId="77777777" w:rsidR="0005747A" w:rsidRPr="002A536A" w:rsidRDefault="0005747A" w:rsidP="002A2264">
            <w:pPr>
              <w:rPr>
                <w:rFonts w:ascii="Calibri" w:hAnsi="Calibri" w:cs="Calibri"/>
              </w:rPr>
            </w:pPr>
            <w:proofErr w:type="spellStart"/>
            <w:r w:rsidRPr="002A536A">
              <w:rPr>
                <w:rFonts w:ascii="Calibri" w:hAnsi="Calibri" w:cs="Calibri"/>
              </w:rPr>
              <w:t>Centropol</w:t>
            </w:r>
            <w:proofErr w:type="spellEnd"/>
            <w:r w:rsidRPr="002A536A">
              <w:rPr>
                <w:rFonts w:ascii="Calibri" w:hAnsi="Calibri" w:cs="Calibri"/>
              </w:rPr>
              <w:t xml:space="preserve"> – bez závazku</w:t>
            </w:r>
          </w:p>
        </w:tc>
        <w:tc>
          <w:tcPr>
            <w:tcW w:w="2268" w:type="dxa"/>
          </w:tcPr>
          <w:p w14:paraId="14474E46" w14:textId="77777777" w:rsidR="0005747A" w:rsidRPr="002A536A" w:rsidRDefault="0005747A" w:rsidP="002A2264">
            <w:pPr>
              <w:jc w:val="center"/>
              <w:rPr>
                <w:rFonts w:ascii="Calibri" w:hAnsi="Calibri" w:cs="Calibri"/>
              </w:rPr>
            </w:pPr>
            <w:r w:rsidRPr="002A536A">
              <w:rPr>
                <w:rFonts w:ascii="Calibri" w:hAnsi="Calibri" w:cs="Calibri"/>
              </w:rPr>
              <w:t>5023</w:t>
            </w:r>
          </w:p>
        </w:tc>
        <w:tc>
          <w:tcPr>
            <w:tcW w:w="2268" w:type="dxa"/>
          </w:tcPr>
          <w:p w14:paraId="0E92A062" w14:textId="77777777" w:rsidR="0005747A" w:rsidRPr="002A536A" w:rsidRDefault="0005747A" w:rsidP="002A2264">
            <w:pPr>
              <w:jc w:val="center"/>
              <w:rPr>
                <w:rFonts w:ascii="Calibri" w:hAnsi="Calibri" w:cs="Calibri"/>
              </w:rPr>
            </w:pPr>
            <w:r w:rsidRPr="002A536A">
              <w:rPr>
                <w:rFonts w:ascii="Calibri" w:hAnsi="Calibri" w:cs="Calibri"/>
              </w:rPr>
              <w:t>1810</w:t>
            </w:r>
          </w:p>
        </w:tc>
      </w:tr>
      <w:tr w:rsidR="0005747A" w:rsidRPr="002A536A" w14:paraId="379615FA" w14:textId="77777777" w:rsidTr="00337BE8">
        <w:tc>
          <w:tcPr>
            <w:tcW w:w="5807" w:type="dxa"/>
          </w:tcPr>
          <w:p w14:paraId="191663DC" w14:textId="77777777" w:rsidR="0005747A" w:rsidRPr="002A536A" w:rsidRDefault="0005747A" w:rsidP="002A2264">
            <w:pPr>
              <w:rPr>
                <w:rFonts w:ascii="Calibri" w:hAnsi="Calibri" w:cs="Calibri"/>
              </w:rPr>
            </w:pPr>
            <w:r w:rsidRPr="002A536A">
              <w:rPr>
                <w:rFonts w:ascii="Calibri" w:hAnsi="Calibri" w:cs="Calibri"/>
              </w:rPr>
              <w:t xml:space="preserve">EON – </w:t>
            </w:r>
            <w:proofErr w:type="spellStart"/>
            <w:r w:rsidRPr="002A536A">
              <w:rPr>
                <w:rFonts w:ascii="Calibri" w:hAnsi="Calibri" w:cs="Calibri"/>
              </w:rPr>
              <w:t>koplet</w:t>
            </w:r>
            <w:proofErr w:type="spellEnd"/>
            <w:r w:rsidRPr="002A536A">
              <w:rPr>
                <w:rFonts w:ascii="Calibri" w:hAnsi="Calibri" w:cs="Calibri"/>
              </w:rPr>
              <w:t xml:space="preserve"> elektřina/plyn bez závazku</w:t>
            </w:r>
          </w:p>
        </w:tc>
        <w:tc>
          <w:tcPr>
            <w:tcW w:w="2268" w:type="dxa"/>
          </w:tcPr>
          <w:p w14:paraId="0B01A313" w14:textId="77777777" w:rsidR="0005747A" w:rsidRPr="002A536A" w:rsidRDefault="0005747A" w:rsidP="002A2264">
            <w:pPr>
              <w:jc w:val="center"/>
              <w:rPr>
                <w:rFonts w:ascii="Calibri" w:hAnsi="Calibri" w:cs="Calibri"/>
              </w:rPr>
            </w:pPr>
            <w:r w:rsidRPr="002A536A">
              <w:rPr>
                <w:rFonts w:ascii="Calibri" w:hAnsi="Calibri" w:cs="Calibri"/>
              </w:rPr>
              <w:t>4793</w:t>
            </w:r>
          </w:p>
        </w:tc>
        <w:tc>
          <w:tcPr>
            <w:tcW w:w="2268" w:type="dxa"/>
          </w:tcPr>
          <w:p w14:paraId="58D9D390" w14:textId="77777777" w:rsidR="0005747A" w:rsidRPr="002A536A" w:rsidRDefault="0005747A" w:rsidP="002A2264">
            <w:pPr>
              <w:jc w:val="center"/>
              <w:rPr>
                <w:rFonts w:ascii="Calibri" w:hAnsi="Calibri" w:cs="Calibri"/>
              </w:rPr>
            </w:pPr>
            <w:r w:rsidRPr="002A536A">
              <w:rPr>
                <w:rFonts w:ascii="Calibri" w:hAnsi="Calibri" w:cs="Calibri"/>
              </w:rPr>
              <w:t>2335</w:t>
            </w:r>
          </w:p>
        </w:tc>
      </w:tr>
      <w:tr w:rsidR="0005747A" w:rsidRPr="002A536A" w14:paraId="0DA7859A" w14:textId="77777777" w:rsidTr="00337BE8">
        <w:tc>
          <w:tcPr>
            <w:tcW w:w="5807" w:type="dxa"/>
          </w:tcPr>
          <w:p w14:paraId="13D5E96C" w14:textId="77777777" w:rsidR="0005747A" w:rsidRPr="002A536A" w:rsidRDefault="0005747A" w:rsidP="002A2264">
            <w:pPr>
              <w:rPr>
                <w:rFonts w:ascii="Calibri" w:hAnsi="Calibri" w:cs="Calibri"/>
              </w:rPr>
            </w:pPr>
            <w:r w:rsidRPr="002A536A">
              <w:rPr>
                <w:rFonts w:ascii="Calibri" w:hAnsi="Calibri" w:cs="Calibri"/>
              </w:rPr>
              <w:t>ČEZ – elektřina/plyn bez závazku</w:t>
            </w:r>
          </w:p>
        </w:tc>
        <w:tc>
          <w:tcPr>
            <w:tcW w:w="2268" w:type="dxa"/>
          </w:tcPr>
          <w:p w14:paraId="1068804C" w14:textId="77777777" w:rsidR="0005747A" w:rsidRPr="002A536A" w:rsidRDefault="0005747A" w:rsidP="002A2264">
            <w:pPr>
              <w:jc w:val="center"/>
              <w:rPr>
                <w:rFonts w:ascii="Calibri" w:hAnsi="Calibri" w:cs="Calibri"/>
              </w:rPr>
            </w:pPr>
            <w:r w:rsidRPr="002A536A">
              <w:rPr>
                <w:rFonts w:ascii="Calibri" w:hAnsi="Calibri" w:cs="Calibri"/>
              </w:rPr>
              <w:t>4792</w:t>
            </w:r>
          </w:p>
        </w:tc>
        <w:tc>
          <w:tcPr>
            <w:tcW w:w="2268" w:type="dxa"/>
          </w:tcPr>
          <w:p w14:paraId="140E8F98" w14:textId="77777777" w:rsidR="0005747A" w:rsidRPr="002A536A" w:rsidRDefault="0005747A" w:rsidP="002A2264">
            <w:pPr>
              <w:jc w:val="center"/>
              <w:rPr>
                <w:rFonts w:ascii="Calibri" w:hAnsi="Calibri" w:cs="Calibri"/>
              </w:rPr>
            </w:pPr>
            <w:r w:rsidRPr="002A536A">
              <w:rPr>
                <w:rFonts w:ascii="Calibri" w:hAnsi="Calibri" w:cs="Calibri"/>
              </w:rPr>
              <w:t>2166</w:t>
            </w:r>
          </w:p>
        </w:tc>
      </w:tr>
      <w:tr w:rsidR="0005747A" w:rsidRPr="002A536A" w14:paraId="24D3D9BB" w14:textId="77777777" w:rsidTr="00337BE8">
        <w:tc>
          <w:tcPr>
            <w:tcW w:w="5807" w:type="dxa"/>
          </w:tcPr>
          <w:p w14:paraId="6EBD0E14" w14:textId="77777777" w:rsidR="0005747A" w:rsidRPr="002A536A" w:rsidRDefault="0005747A" w:rsidP="002A2264">
            <w:pPr>
              <w:rPr>
                <w:rFonts w:ascii="Calibri" w:hAnsi="Calibri" w:cs="Calibri"/>
              </w:rPr>
            </w:pPr>
            <w:r w:rsidRPr="002A536A">
              <w:rPr>
                <w:rFonts w:ascii="Calibri" w:hAnsi="Calibri" w:cs="Calibri"/>
              </w:rPr>
              <w:t>MND – elektřina/plyn ceník pod stropem</w:t>
            </w:r>
          </w:p>
        </w:tc>
        <w:tc>
          <w:tcPr>
            <w:tcW w:w="2268" w:type="dxa"/>
          </w:tcPr>
          <w:p w14:paraId="65D20AC0" w14:textId="77777777" w:rsidR="0005747A" w:rsidRPr="002A536A" w:rsidRDefault="0005747A" w:rsidP="002A2264">
            <w:pPr>
              <w:jc w:val="center"/>
              <w:rPr>
                <w:rFonts w:ascii="Calibri" w:hAnsi="Calibri" w:cs="Calibri"/>
              </w:rPr>
            </w:pPr>
            <w:r w:rsidRPr="002A536A">
              <w:rPr>
                <w:rFonts w:ascii="Calibri" w:hAnsi="Calibri" w:cs="Calibri"/>
              </w:rPr>
              <w:t>4344</w:t>
            </w:r>
          </w:p>
        </w:tc>
        <w:tc>
          <w:tcPr>
            <w:tcW w:w="2268" w:type="dxa"/>
          </w:tcPr>
          <w:p w14:paraId="45F360C2" w14:textId="77777777" w:rsidR="0005747A" w:rsidRPr="002A536A" w:rsidRDefault="0005747A" w:rsidP="002A2264">
            <w:pPr>
              <w:jc w:val="center"/>
              <w:rPr>
                <w:rFonts w:ascii="Calibri" w:hAnsi="Calibri" w:cs="Calibri"/>
              </w:rPr>
            </w:pPr>
            <w:r w:rsidRPr="002A536A">
              <w:rPr>
                <w:rFonts w:ascii="Calibri" w:hAnsi="Calibri" w:cs="Calibri"/>
              </w:rPr>
              <w:t>1986</w:t>
            </w:r>
          </w:p>
        </w:tc>
      </w:tr>
    </w:tbl>
    <w:p w14:paraId="6E5499F2" w14:textId="77777777" w:rsidR="0005747A" w:rsidRPr="002A536A" w:rsidRDefault="0005747A" w:rsidP="0005747A">
      <w:pPr>
        <w:rPr>
          <w:rFonts w:ascii="Calibri" w:hAnsi="Calibri" w:cs="Calibri"/>
          <w:sz w:val="18"/>
          <w:szCs w:val="18"/>
        </w:rPr>
      </w:pPr>
      <w:r w:rsidRPr="002A536A">
        <w:rPr>
          <w:rFonts w:ascii="Calibri" w:hAnsi="Calibri" w:cs="Calibri"/>
          <w:sz w:val="18"/>
          <w:szCs w:val="18"/>
        </w:rPr>
        <w:t>Pozn.: Ceny jsou převzaté ze stránek ERÚ, u produktu Garant měsíc jde o průměrné ceny leden-červen 2024</w:t>
      </w:r>
    </w:p>
    <w:p w14:paraId="3EA2CFE7" w14:textId="77777777" w:rsidR="0005747A" w:rsidRPr="002A536A" w:rsidRDefault="0005747A" w:rsidP="0005747A">
      <w:pPr>
        <w:jc w:val="both"/>
        <w:rPr>
          <w:rFonts w:ascii="Calibri" w:hAnsi="Calibri" w:cs="Calibri"/>
        </w:rPr>
      </w:pPr>
      <w:r w:rsidRPr="002A536A">
        <w:rPr>
          <w:rFonts w:ascii="Calibri" w:hAnsi="Calibri" w:cs="Calibri"/>
        </w:rPr>
        <w:t>„Hlavní výhodou produktu Garant měsíc je jeho naprostá transparentnost. Zájemce zná cenu dané komodity dva měsíce předem a může si ji snadno najít na našich webových stránkách. Stávajícím odběratelům ji rozesíláme automaticky hned po jejím uveřejnění. Produkt Garant měsíc je také silně prozákaznický: v případě nepříznivého vývoje cen na burze může zákazník po měsíci smlouvu vypovědět a přejít na fixní tarif,“ popisuje hlavní princip tohoto tarifu Jakub Tobiáš, marketingový ředitel LAMA ENERGY GROUP.</w:t>
      </w:r>
    </w:p>
    <w:p w14:paraId="070E957B" w14:textId="39601AC4" w:rsidR="0005747A" w:rsidRPr="002A536A" w:rsidRDefault="0005747A" w:rsidP="0005747A">
      <w:pPr>
        <w:jc w:val="both"/>
        <w:rPr>
          <w:rFonts w:ascii="Calibri" w:hAnsi="Calibri" w:cs="Calibri"/>
        </w:rPr>
      </w:pPr>
      <w:r w:rsidRPr="002A536A">
        <w:rPr>
          <w:rFonts w:ascii="Calibri" w:hAnsi="Calibri" w:cs="Calibri"/>
        </w:rPr>
        <w:t xml:space="preserve">Dodavatel energií LAMA </w:t>
      </w:r>
      <w:proofErr w:type="spellStart"/>
      <w:r w:rsidRPr="002A536A">
        <w:rPr>
          <w:rFonts w:ascii="Calibri" w:hAnsi="Calibri" w:cs="Calibri"/>
        </w:rPr>
        <w:t>energy</w:t>
      </w:r>
      <w:proofErr w:type="spellEnd"/>
      <w:r w:rsidRPr="002A536A">
        <w:rPr>
          <w:rFonts w:ascii="Calibri" w:hAnsi="Calibri" w:cs="Calibri"/>
        </w:rPr>
        <w:t xml:space="preserve"> začal tento produkt nabízet v červnu minulého roku a po celou dobu se dosud udržel hluboko pod cenami standardních </w:t>
      </w:r>
      <w:r>
        <w:rPr>
          <w:rFonts w:ascii="Calibri" w:hAnsi="Calibri" w:cs="Calibri"/>
        </w:rPr>
        <w:t xml:space="preserve">tarifů na neurčito i </w:t>
      </w:r>
      <w:r w:rsidRPr="002A536A">
        <w:rPr>
          <w:rFonts w:ascii="Calibri" w:hAnsi="Calibri" w:cs="Calibri"/>
        </w:rPr>
        <w:t>fixních tarifů uzavíraných na delší období. Platilo to i při přechodném zvýšení cen na začátku topného období, které prověřilo funkčnost a výhodnost tohoto druhu dodávek energií. A vysoce konkurenční je i nyní, kdy řada dodavatelů snižuje platby u svých fixních tarifů.</w:t>
      </w:r>
    </w:p>
    <w:p w14:paraId="796ECA7A" w14:textId="77777777" w:rsidR="0005747A" w:rsidRDefault="0005747A" w:rsidP="0005747A">
      <w:pPr>
        <w:jc w:val="both"/>
        <w:rPr>
          <w:rFonts w:ascii="Calibri" w:hAnsi="Calibri" w:cs="Calibri"/>
        </w:rPr>
      </w:pPr>
    </w:p>
    <w:p w14:paraId="6F787499" w14:textId="77777777" w:rsidR="0005747A" w:rsidRDefault="0005747A" w:rsidP="0005747A">
      <w:pPr>
        <w:jc w:val="both"/>
        <w:rPr>
          <w:rFonts w:ascii="Calibri" w:hAnsi="Calibri" w:cs="Calibri"/>
        </w:rPr>
      </w:pPr>
    </w:p>
    <w:p w14:paraId="55894AE0" w14:textId="124608BC" w:rsidR="0005747A" w:rsidRPr="002A536A" w:rsidRDefault="0005747A" w:rsidP="0005747A">
      <w:pPr>
        <w:jc w:val="both"/>
        <w:rPr>
          <w:rFonts w:ascii="Calibri" w:hAnsi="Calibri" w:cs="Calibri"/>
        </w:rPr>
      </w:pPr>
      <w:r w:rsidRPr="002A536A">
        <w:rPr>
          <w:rFonts w:ascii="Calibri" w:hAnsi="Calibri" w:cs="Calibri"/>
        </w:rPr>
        <w:t xml:space="preserve">„Produkt je velmi výhodný. Samozřejmě vyžaduje, aby se zákazníci v energetice alespoň základně orientovali a byli schopni případně zareagovat na vývoj na trhu. LAMA </w:t>
      </w:r>
      <w:proofErr w:type="spellStart"/>
      <w:r w:rsidRPr="002A536A">
        <w:rPr>
          <w:rFonts w:ascii="Calibri" w:hAnsi="Calibri" w:cs="Calibri"/>
        </w:rPr>
        <w:t>energy</w:t>
      </w:r>
      <w:proofErr w:type="spellEnd"/>
      <w:r w:rsidRPr="002A536A">
        <w:rPr>
          <w:rFonts w:ascii="Calibri" w:hAnsi="Calibri" w:cs="Calibri"/>
        </w:rPr>
        <w:t>, která za zákazníky tento produkt hlídá, jim může nabídnout změnu z produktu Garant měsíc na klasický fixovaný produkt, případně si mohou sami zvolit jiného dodavatele,“ upřesňuje Jakub Tobiáš a dodává: „Díky tomu, jak je náš produkt jednoduchý a transparentní</w:t>
      </w:r>
      <w:r>
        <w:rPr>
          <w:rFonts w:ascii="Calibri" w:hAnsi="Calibri" w:cs="Calibri"/>
        </w:rPr>
        <w:t>,</w:t>
      </w:r>
      <w:r w:rsidRPr="002A536A">
        <w:rPr>
          <w:rFonts w:ascii="Calibri" w:hAnsi="Calibri" w:cs="Calibri"/>
        </w:rPr>
        <w:t xml:space="preserve"> není problém jeho fungování rychle porozumět. A co je zásadní, šetří peníze. A to na úrovni tisícikorun korun na megawatthodinu u elektřiny a velmi výhodný je i u zemního plynu.“.</w:t>
      </w:r>
    </w:p>
    <w:p w14:paraId="0F0A6040" w14:textId="77777777" w:rsidR="0005747A" w:rsidRPr="002A536A" w:rsidRDefault="0005747A" w:rsidP="0005747A">
      <w:pPr>
        <w:jc w:val="both"/>
        <w:rPr>
          <w:rFonts w:ascii="Calibri" w:hAnsi="Calibri" w:cs="Calibri"/>
        </w:rPr>
      </w:pPr>
      <w:r w:rsidRPr="002A536A">
        <w:rPr>
          <w:rFonts w:ascii="Calibri" w:hAnsi="Calibri" w:cs="Calibri"/>
        </w:rPr>
        <w:t xml:space="preserve">Měsíční tarify, které kromě LAMA </w:t>
      </w:r>
      <w:proofErr w:type="spellStart"/>
      <w:r w:rsidRPr="002A536A">
        <w:rPr>
          <w:rFonts w:ascii="Calibri" w:hAnsi="Calibri" w:cs="Calibri"/>
        </w:rPr>
        <w:t>energy</w:t>
      </w:r>
      <w:proofErr w:type="spellEnd"/>
      <w:r w:rsidRPr="002A536A">
        <w:rPr>
          <w:rFonts w:ascii="Calibri" w:hAnsi="Calibri" w:cs="Calibri"/>
        </w:rPr>
        <w:t xml:space="preserve"> nabízí několik dalších dodavatelů, už přilákaly za rok, co jsou v nabídce, desetitisíce zákazníků a jejich počet se neustále zvyšuje. Minimálně za zkoušku stojí všem odběratelům, kterým končí fixace u jejich stávajících dodavatelů, a rozhlížejí se po nových. Lze očekávat, že přinejmenším do začátku příští topné sezony ceny energií významně neporostou a zkušenost z minulé zimy ukázala, že jsou konkurenceschopné i během topné sezony.</w:t>
      </w:r>
    </w:p>
    <w:p w14:paraId="1C1B27CE" w14:textId="77777777" w:rsidR="0005747A" w:rsidRPr="002A536A" w:rsidRDefault="0005747A" w:rsidP="0005747A">
      <w:pPr>
        <w:jc w:val="both"/>
        <w:rPr>
          <w:rFonts w:ascii="Calibri" w:hAnsi="Calibri" w:cs="Calibri"/>
        </w:rPr>
      </w:pPr>
    </w:p>
    <w:p w14:paraId="58D2D849" w14:textId="77777777" w:rsidR="0005747A" w:rsidRPr="002A536A" w:rsidRDefault="0005747A" w:rsidP="0005747A">
      <w:pPr>
        <w:pStyle w:val="Normlnweb"/>
        <w:spacing w:before="0" w:beforeAutospacing="0" w:after="160" w:afterAutospacing="0"/>
        <w:jc w:val="both"/>
        <w:rPr>
          <w:rFonts w:ascii="Calibri" w:hAnsi="Calibri" w:cs="Calibri"/>
        </w:rPr>
      </w:pPr>
      <w:r w:rsidRPr="002A536A">
        <w:rPr>
          <w:rFonts w:ascii="Calibri" w:hAnsi="Calibri" w:cs="Calibri"/>
          <w:b/>
          <w:bCs/>
          <w:color w:val="000000"/>
          <w:sz w:val="22"/>
          <w:szCs w:val="22"/>
        </w:rPr>
        <w:t xml:space="preserve">O LAMA </w:t>
      </w:r>
      <w:proofErr w:type="spellStart"/>
      <w:r w:rsidRPr="002A536A">
        <w:rPr>
          <w:rFonts w:ascii="Calibri" w:hAnsi="Calibri" w:cs="Calibri"/>
          <w:b/>
          <w:bCs/>
          <w:color w:val="000000"/>
          <w:sz w:val="22"/>
          <w:szCs w:val="22"/>
        </w:rPr>
        <w:t>energy</w:t>
      </w:r>
      <w:proofErr w:type="spellEnd"/>
      <w:r w:rsidRPr="002A536A">
        <w:rPr>
          <w:rFonts w:ascii="Calibri" w:hAnsi="Calibri" w:cs="Calibri"/>
          <w:b/>
          <w:bCs/>
          <w:color w:val="000000"/>
          <w:sz w:val="22"/>
          <w:szCs w:val="22"/>
        </w:rPr>
        <w:t>, a. s.</w:t>
      </w:r>
    </w:p>
    <w:p w14:paraId="2BC0492E" w14:textId="77777777" w:rsidR="0005747A" w:rsidRPr="002A536A" w:rsidRDefault="0005747A" w:rsidP="0005747A">
      <w:pPr>
        <w:pStyle w:val="Normlnweb"/>
        <w:spacing w:before="0" w:beforeAutospacing="0" w:after="160" w:afterAutospacing="0"/>
        <w:jc w:val="both"/>
        <w:rPr>
          <w:rFonts w:ascii="Calibri" w:hAnsi="Calibri" w:cs="Calibri"/>
        </w:rPr>
      </w:pPr>
      <w:r w:rsidRPr="002A536A">
        <w:rPr>
          <w:rFonts w:ascii="Calibri" w:hAnsi="Calibri" w:cs="Calibri"/>
          <w:color w:val="000000"/>
          <w:sz w:val="22"/>
          <w:szCs w:val="22"/>
        </w:rPr>
        <w:t xml:space="preserve">LAMA </w:t>
      </w:r>
      <w:proofErr w:type="spellStart"/>
      <w:r w:rsidRPr="002A536A">
        <w:rPr>
          <w:rFonts w:ascii="Calibri" w:hAnsi="Calibri" w:cs="Calibri"/>
          <w:color w:val="000000"/>
          <w:sz w:val="22"/>
          <w:szCs w:val="22"/>
        </w:rPr>
        <w:t>energy</w:t>
      </w:r>
      <w:proofErr w:type="spellEnd"/>
      <w:r w:rsidRPr="002A536A">
        <w:rPr>
          <w:rFonts w:ascii="Calibri" w:hAnsi="Calibri" w:cs="Calibri"/>
          <w:color w:val="000000"/>
          <w:sz w:val="22"/>
          <w:szCs w:val="22"/>
        </w:rPr>
        <w:t xml:space="preserve"> je český dodavatel zemního plynu a elektrické energie, součást firemní skupiny LAMA ENERGY GROUP s vlastní těžbou ropy a plynu na jižní Moravě. Plyn těžený v rámci skupiny pokrývá potřebu zákazníků LAMA </w:t>
      </w:r>
      <w:proofErr w:type="spellStart"/>
      <w:r w:rsidRPr="002A536A">
        <w:rPr>
          <w:rFonts w:ascii="Calibri" w:hAnsi="Calibri" w:cs="Calibri"/>
          <w:color w:val="000000"/>
          <w:sz w:val="22"/>
          <w:szCs w:val="22"/>
        </w:rPr>
        <w:t>energy</w:t>
      </w:r>
      <w:proofErr w:type="spellEnd"/>
      <w:r w:rsidRPr="002A536A">
        <w:rPr>
          <w:rFonts w:ascii="Calibri" w:hAnsi="Calibri" w:cs="Calibri"/>
          <w:color w:val="000000"/>
          <w:sz w:val="22"/>
          <w:szCs w:val="22"/>
        </w:rPr>
        <w:t xml:space="preserve"> přibližně z jedné pětiny. Společnost sídlí v Hradci nad Moravicí, do jejího portfolia patří domácnosti i firemní zákazníci. LAMA </w:t>
      </w:r>
      <w:proofErr w:type="spellStart"/>
      <w:r w:rsidRPr="002A536A">
        <w:rPr>
          <w:rFonts w:ascii="Calibri" w:hAnsi="Calibri" w:cs="Calibri"/>
          <w:color w:val="000000"/>
          <w:sz w:val="22"/>
          <w:szCs w:val="22"/>
        </w:rPr>
        <w:t>energy</w:t>
      </w:r>
      <w:proofErr w:type="spellEnd"/>
      <w:r w:rsidRPr="002A536A">
        <w:rPr>
          <w:rFonts w:ascii="Calibri" w:hAnsi="Calibri" w:cs="Calibri"/>
          <w:color w:val="000000"/>
          <w:sz w:val="22"/>
          <w:szCs w:val="22"/>
        </w:rPr>
        <w:t xml:space="preserve"> působí na českém trhu již od svého vzniku 1. 4. 2007, kdy došlo k liberalizaci odvětví. Pod tehdejším jménem LAMA INVESTMENTS začala společnost dodávat plyn velkoodběratelům a od roku 2009 i domácnostem pod značkou levnyplyn.cz. V roce 2011 firma rozšířila své portfolio i na dodávky elektřiny a expandovala na Slovensko.</w:t>
      </w:r>
    </w:p>
    <w:p w14:paraId="1CD2941C" w14:textId="39D08097" w:rsidR="007643E8" w:rsidRPr="003B39B3" w:rsidRDefault="007643E8" w:rsidP="0020667A">
      <w:pPr>
        <w:jc w:val="both"/>
      </w:pPr>
    </w:p>
    <w:sectPr w:rsidR="007643E8" w:rsidRPr="003B39B3" w:rsidSect="008758D8">
      <w:headerReference w:type="default" r:id="rId10"/>
      <w:footerReference w:type="default" r:id="rId11"/>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FB9C8" w14:textId="77777777" w:rsidR="008758D8" w:rsidRDefault="008758D8" w:rsidP="00B22901">
      <w:pPr>
        <w:spacing w:after="0" w:line="240" w:lineRule="auto"/>
      </w:pPr>
      <w:r>
        <w:separator/>
      </w:r>
    </w:p>
  </w:endnote>
  <w:endnote w:type="continuationSeparator" w:id="0">
    <w:p w14:paraId="2FB8F4E7" w14:textId="77777777" w:rsidR="008758D8" w:rsidRDefault="008758D8" w:rsidP="00B2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 T OT">
    <w:altName w:val="Century Gothic"/>
    <w:panose1 w:val="00000000000000000000"/>
    <w:charset w:val="00"/>
    <w:family w:val="modern"/>
    <w:notTrueType/>
    <w:pitch w:val="variable"/>
    <w:sig w:usb0="800000AF"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8661856"/>
      <w:docPartObj>
        <w:docPartGallery w:val="Page Numbers (Bottom of Page)"/>
        <w:docPartUnique/>
      </w:docPartObj>
    </w:sdtPr>
    <w:sdtContent>
      <w:tbl>
        <w:tblPr>
          <w:tblW w:w="5000" w:type="pct"/>
          <w:tblCellMar>
            <w:left w:w="91" w:type="dxa"/>
            <w:right w:w="28" w:type="dxa"/>
          </w:tblCellMar>
          <w:tblLook w:val="04A0" w:firstRow="1" w:lastRow="0" w:firstColumn="1" w:lastColumn="0" w:noHBand="0" w:noVBand="1"/>
        </w:tblPr>
        <w:tblGrid>
          <w:gridCol w:w="10341"/>
          <w:gridCol w:w="125"/>
        </w:tblGrid>
        <w:tr w:rsidR="00B272B9" w:rsidRPr="00AC75E2" w14:paraId="1391EAC5" w14:textId="77777777" w:rsidTr="0020326E">
          <w:trPr>
            <w:trHeight w:val="279"/>
          </w:trPr>
          <w:tc>
            <w:tcPr>
              <w:tcW w:w="4361" w:type="pct"/>
              <w:shd w:val="clear" w:color="auto" w:fill="auto"/>
              <w:vAlign w:val="center"/>
            </w:tcPr>
            <w:p w14:paraId="0DC53DC0" w14:textId="745EF89D" w:rsidR="00B272B9" w:rsidRPr="00797BB3" w:rsidRDefault="00B272B9" w:rsidP="00B272B9">
              <w:pPr>
                <w:pStyle w:val="Zpat"/>
                <w:ind w:right="360" w:hanging="90"/>
                <w:rPr>
                  <w:sz w:val="13"/>
                  <w:szCs w:val="12"/>
                </w:rPr>
              </w:pPr>
              <w:r>
                <w:rPr>
                  <w:b/>
                  <w:bCs/>
                  <w:noProof/>
                  <w:sz w:val="13"/>
                  <w:szCs w:val="12"/>
                  <w:lang w:eastAsia="cs-CZ"/>
                </w:rPr>
                <w:drawing>
                  <wp:inline distT="0" distB="0" distL="0" distR="0" wp14:anchorId="58F10657" wp14:editId="7CEC9A20">
                    <wp:extent cx="6562725" cy="256447"/>
                    <wp:effectExtent l="0" t="0" r="0" b="0"/>
                    <wp:docPr id="83" name="obráze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ázek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300434" cy="285274"/>
                            </a:xfrm>
                            <a:prstGeom prst="rect">
                              <a:avLst/>
                            </a:prstGeom>
                            <a:noFill/>
                            <a:ln>
                              <a:noFill/>
                            </a:ln>
                          </pic:spPr>
                        </pic:pic>
                      </a:graphicData>
                    </a:graphic>
                  </wp:inline>
                </w:drawing>
              </w:r>
            </w:p>
          </w:tc>
          <w:tc>
            <w:tcPr>
              <w:tcW w:w="639" w:type="pct"/>
              <w:shd w:val="clear" w:color="auto" w:fill="auto"/>
              <w:vAlign w:val="center"/>
            </w:tcPr>
            <w:p w14:paraId="62DEACA4" w14:textId="618D8540" w:rsidR="00B272B9" w:rsidRPr="00AC75E2" w:rsidRDefault="00B272B9" w:rsidP="00B272B9">
              <w:pPr>
                <w:pStyle w:val="Zpat"/>
                <w:jc w:val="right"/>
                <w:rPr>
                  <w:rFonts w:cs="Arial"/>
                  <w:sz w:val="14"/>
                  <w:szCs w:val="14"/>
                </w:rPr>
              </w:pPr>
            </w:p>
          </w:tc>
        </w:tr>
        <w:tr w:rsidR="00B272B9" w:rsidRPr="00797BB3" w14:paraId="6B8142EA" w14:textId="77777777" w:rsidTr="0020326E">
          <w:trPr>
            <w:trHeight w:val="279"/>
          </w:trPr>
          <w:tc>
            <w:tcPr>
              <w:tcW w:w="5000" w:type="pct"/>
              <w:gridSpan w:val="2"/>
              <w:shd w:val="clear" w:color="auto" w:fill="auto"/>
              <w:vAlign w:val="center"/>
            </w:tcPr>
            <w:p w14:paraId="5FE83D37" w14:textId="2AD3450D" w:rsidR="00B272B9" w:rsidRPr="005614B8" w:rsidRDefault="00B272B9" w:rsidP="00B272B9">
              <w:pPr>
                <w:pStyle w:val="Zpat"/>
                <w:ind w:hanging="90"/>
                <w:rPr>
                  <w:rFonts w:cs="Arial"/>
                  <w:sz w:val="14"/>
                  <w:szCs w:val="14"/>
                </w:rPr>
              </w:pPr>
            </w:p>
          </w:tc>
        </w:tr>
      </w:tbl>
      <w:p w14:paraId="28AD6393" w14:textId="25CBA331" w:rsidR="00377DA9" w:rsidRDefault="00000000" w:rsidP="00B272B9">
        <w:pPr>
          <w:pStyle w:val="Zpat"/>
        </w:pPr>
      </w:p>
    </w:sdtContent>
  </w:sdt>
  <w:p w14:paraId="1ED1BEB1" w14:textId="77777777" w:rsidR="00377DA9" w:rsidRDefault="00377D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C22DD" w14:textId="77777777" w:rsidR="008758D8" w:rsidRDefault="008758D8" w:rsidP="00B22901">
      <w:pPr>
        <w:spacing w:after="0" w:line="240" w:lineRule="auto"/>
      </w:pPr>
      <w:r>
        <w:separator/>
      </w:r>
    </w:p>
  </w:footnote>
  <w:footnote w:type="continuationSeparator" w:id="0">
    <w:p w14:paraId="1C99B80E" w14:textId="77777777" w:rsidR="008758D8" w:rsidRDefault="008758D8" w:rsidP="00B2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56EE8" w14:textId="6AB3F444" w:rsidR="00B272B9" w:rsidRDefault="003B39B3" w:rsidP="00B272B9">
    <w:pPr>
      <w:pStyle w:val="Zhlav"/>
      <w:jc w:val="right"/>
    </w:pPr>
    <w:r>
      <w:rPr>
        <w:noProof/>
      </w:rPr>
      <mc:AlternateContent>
        <mc:Choice Requires="wps">
          <w:drawing>
            <wp:anchor distT="0" distB="0" distL="114300" distR="114300" simplePos="0" relativeHeight="251660288" behindDoc="0" locked="0" layoutInCell="1" allowOverlap="1" wp14:anchorId="14AECC5E" wp14:editId="257BAEC1">
              <wp:simplePos x="0" y="0"/>
              <wp:positionH relativeFrom="column">
                <wp:posOffset>-104775</wp:posOffset>
              </wp:positionH>
              <wp:positionV relativeFrom="paragraph">
                <wp:posOffset>103505</wp:posOffset>
              </wp:positionV>
              <wp:extent cx="4752975" cy="32385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4752975" cy="323850"/>
                      </a:xfrm>
                      <a:prstGeom prst="rect">
                        <a:avLst/>
                      </a:prstGeom>
                      <a:noFill/>
                      <a:ln w="6350">
                        <a:noFill/>
                      </a:ln>
                    </wps:spPr>
                    <wps:txbx>
                      <w:txbxContent>
                        <w:p w14:paraId="38199030" w14:textId="63DB32D7" w:rsidR="003B39B3" w:rsidRPr="003B39B3" w:rsidRDefault="003B39B3">
                          <w:pPr>
                            <w:rPr>
                              <w:rFonts w:ascii="Futura T OT" w:hAnsi="Futura T OT"/>
                              <w:b/>
                              <w:bCs/>
                              <w:color w:val="8E262A"/>
                              <w:sz w:val="32"/>
                              <w:szCs w:val="32"/>
                            </w:rPr>
                          </w:pPr>
                          <w:r w:rsidRPr="003B39B3">
                            <w:rPr>
                              <w:rFonts w:ascii="Futura T OT" w:hAnsi="Futura T OT"/>
                              <w:b/>
                              <w:bCs/>
                              <w:color w:val="8E262A"/>
                              <w:sz w:val="32"/>
                              <w:szCs w:val="32"/>
                            </w:rPr>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ECC5E" id="_x0000_t202" coordsize="21600,21600" o:spt="202" path="m,l,21600r21600,l21600,xe">
              <v:stroke joinstyle="miter"/>
              <v:path gradientshapeok="t" o:connecttype="rect"/>
            </v:shapetype>
            <v:shape id="Textové pole 2" o:spid="_x0000_s1026" type="#_x0000_t202" style="position:absolute;left:0;text-align:left;margin-left:-8.25pt;margin-top:8.15pt;width:374.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" filled="f" stroked="f" strokeweight=".5pt">
              <v:textbox>
                <w:txbxContent>
                  <w:p w14:paraId="38199030" w14:textId="63DB32D7" w:rsidR="003B39B3" w:rsidRPr="003B39B3" w:rsidRDefault="003B39B3">
                    <w:pPr>
                      <w:rPr>
                        <w:rFonts w:ascii="Futura T OT" w:hAnsi="Futura T OT"/>
                        <w:b/>
                        <w:bCs/>
                        <w:color w:val="8E262A"/>
                        <w:sz w:val="32"/>
                        <w:szCs w:val="32"/>
                      </w:rPr>
                    </w:pPr>
                    <w:r w:rsidRPr="003B39B3">
                      <w:rPr>
                        <w:rFonts w:ascii="Futura T OT" w:hAnsi="Futura T OT"/>
                        <w:b/>
                        <w:bCs/>
                        <w:color w:val="8E262A"/>
                        <w:sz w:val="32"/>
                        <w:szCs w:val="32"/>
                      </w:rPr>
                      <w:t>Tisková zpráva</w:t>
                    </w:r>
                  </w:p>
                </w:txbxContent>
              </v:textbox>
            </v:shape>
          </w:pict>
        </mc:Fallback>
      </mc:AlternateContent>
    </w:r>
    <w:r w:rsidR="00B272B9">
      <w:rPr>
        <w:noProof/>
      </w:rPr>
      <mc:AlternateContent>
        <mc:Choice Requires="wps">
          <w:drawing>
            <wp:anchor distT="0" distB="0" distL="114300" distR="114300" simplePos="0" relativeHeight="251659264" behindDoc="0" locked="0" layoutInCell="1" allowOverlap="1" wp14:anchorId="2143E465" wp14:editId="251FBB05">
              <wp:simplePos x="0" y="0"/>
              <wp:positionH relativeFrom="column">
                <wp:posOffset>0</wp:posOffset>
              </wp:positionH>
              <wp:positionV relativeFrom="paragraph">
                <wp:posOffset>392430</wp:posOffset>
              </wp:positionV>
              <wp:extent cx="5292000" cy="0"/>
              <wp:effectExtent l="0" t="0" r="0" b="0"/>
              <wp:wrapNone/>
              <wp:docPr id="1" name="Přímá spojnice 1"/>
              <wp:cNvGraphicFramePr/>
              <a:graphic xmlns:a="http://schemas.openxmlformats.org/drawingml/2006/main">
                <a:graphicData uri="http://schemas.microsoft.com/office/word/2010/wordprocessingShape">
                  <wps:wsp>
                    <wps:cNvCnPr/>
                    <wps:spPr>
                      <a:xfrm flipH="1">
                        <a:off x="0" y="0"/>
                        <a:ext cx="5292000" cy="0"/>
                      </a:xfrm>
                      <a:prstGeom prst="line">
                        <a:avLst/>
                      </a:prstGeom>
                      <a:ln w="9525">
                        <a:solidFill>
                          <a:srgbClr val="842E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671D77" id="Přímá spojnice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9pt" to="416.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" strokecolor="#842e2e">
              <v:stroke joinstyle="miter"/>
            </v:line>
          </w:pict>
        </mc:Fallback>
      </mc:AlternateContent>
    </w:r>
    <w:r w:rsidR="00B272B9">
      <w:rPr>
        <w:noProof/>
      </w:rPr>
      <w:drawing>
        <wp:inline distT="0" distB="0" distL="0" distR="0" wp14:anchorId="241D631F" wp14:editId="5EDB30F6">
          <wp:extent cx="1257949" cy="58102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4210" cy="583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30CB"/>
    <w:multiLevelType w:val="hybridMultilevel"/>
    <w:tmpl w:val="3D241C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126F8B"/>
    <w:multiLevelType w:val="multilevel"/>
    <w:tmpl w:val="CD3AE3EA"/>
    <w:lvl w:ilvl="0">
      <w:start w:val="1"/>
      <w:numFmt w:val="decimal"/>
      <w:pStyle w:val="Nadpis1"/>
      <w:suff w:val="nothing"/>
      <w:lvlText w:val="Článek %1"/>
      <w:lvlJc w:val="left"/>
      <w:pPr>
        <w:ind w:left="284"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227"/>
        </w:tabs>
        <w:ind w:left="227" w:hanging="227"/>
      </w:pPr>
      <w:rPr>
        <w:rFonts w:ascii="Arial" w:hAnsi="Arial" w:hint="default"/>
        <w:b w:val="0"/>
        <w:i w:val="0"/>
        <w:sz w:val="12"/>
        <w:szCs w:val="12"/>
      </w:rPr>
    </w:lvl>
    <w:lvl w:ilvl="2">
      <w:start w:val="1"/>
      <w:numFmt w:val="decimal"/>
      <w:pStyle w:val="Nadpis3"/>
      <w:isLgl/>
      <w:lvlText w:val="%1.%2.%3"/>
      <w:lvlJc w:val="left"/>
      <w:pPr>
        <w:tabs>
          <w:tab w:val="num" w:pos="510"/>
        </w:tabs>
        <w:ind w:left="510" w:hanging="283"/>
      </w:pPr>
      <w:rPr>
        <w:rFonts w:ascii="Arial" w:hAnsi="Arial" w:hint="default"/>
        <w:b w:val="0"/>
        <w:i w:val="0"/>
        <w:sz w:val="12"/>
        <w:szCs w:val="12"/>
      </w:rPr>
    </w:lvl>
    <w:lvl w:ilvl="3">
      <w:start w:val="1"/>
      <w:numFmt w:val="decimal"/>
      <w:pStyle w:val="Nadpis4"/>
      <w:isLgl/>
      <w:lvlText w:val="%1.%2.%3.%4"/>
      <w:lvlJc w:val="left"/>
      <w:pPr>
        <w:tabs>
          <w:tab w:val="num" w:pos="2268"/>
        </w:tabs>
        <w:ind w:left="2268" w:hanging="850"/>
      </w:pPr>
      <w:rPr>
        <w:rFonts w:ascii="Arial" w:hAnsi="Arial" w:hint="default"/>
        <w:b w:val="0"/>
        <w:i w:val="0"/>
        <w:sz w:val="8"/>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0B4B77A9"/>
    <w:multiLevelType w:val="hybridMultilevel"/>
    <w:tmpl w:val="779C2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AF39B5"/>
    <w:multiLevelType w:val="hybridMultilevel"/>
    <w:tmpl w:val="1D62C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0E765A"/>
    <w:multiLevelType w:val="hybridMultilevel"/>
    <w:tmpl w:val="41F4A570"/>
    <w:lvl w:ilvl="0" w:tplc="12D2645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5871FDD"/>
    <w:multiLevelType w:val="hybridMultilevel"/>
    <w:tmpl w:val="1A98B3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F55A2"/>
    <w:multiLevelType w:val="hybridMultilevel"/>
    <w:tmpl w:val="CF2688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A83A59"/>
    <w:multiLevelType w:val="hybridMultilevel"/>
    <w:tmpl w:val="FA9CC000"/>
    <w:lvl w:ilvl="0" w:tplc="B4F6BF92">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0A2DC0"/>
    <w:multiLevelType w:val="hybridMultilevel"/>
    <w:tmpl w:val="E968B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1E1C27"/>
    <w:multiLevelType w:val="hybridMultilevel"/>
    <w:tmpl w:val="8A186380"/>
    <w:lvl w:ilvl="0" w:tplc="04050019">
      <w:start w:val="1"/>
      <w:numFmt w:val="lowerLetter"/>
      <w:lvlText w:val="%1."/>
      <w:lvlJc w:val="left"/>
      <w:pPr>
        <w:tabs>
          <w:tab w:val="num" w:pos="1032"/>
        </w:tabs>
        <w:ind w:left="1032" w:hanging="360"/>
      </w:pPr>
    </w:lvl>
    <w:lvl w:ilvl="1" w:tplc="04050019">
      <w:start w:val="1"/>
      <w:numFmt w:val="lowerLetter"/>
      <w:lvlText w:val="%2."/>
      <w:lvlJc w:val="left"/>
      <w:pPr>
        <w:tabs>
          <w:tab w:val="num" w:pos="1752"/>
        </w:tabs>
        <w:ind w:left="1752" w:hanging="360"/>
      </w:pPr>
    </w:lvl>
    <w:lvl w:ilvl="2" w:tplc="0405001B" w:tentative="1">
      <w:start w:val="1"/>
      <w:numFmt w:val="lowerRoman"/>
      <w:lvlText w:val="%3."/>
      <w:lvlJc w:val="right"/>
      <w:pPr>
        <w:tabs>
          <w:tab w:val="num" w:pos="2472"/>
        </w:tabs>
        <w:ind w:left="2472" w:hanging="180"/>
      </w:pPr>
    </w:lvl>
    <w:lvl w:ilvl="3" w:tplc="0405000F" w:tentative="1">
      <w:start w:val="1"/>
      <w:numFmt w:val="decimal"/>
      <w:lvlText w:val="%4."/>
      <w:lvlJc w:val="left"/>
      <w:pPr>
        <w:tabs>
          <w:tab w:val="num" w:pos="3192"/>
        </w:tabs>
        <w:ind w:left="3192" w:hanging="360"/>
      </w:pPr>
    </w:lvl>
    <w:lvl w:ilvl="4" w:tplc="04050019" w:tentative="1">
      <w:start w:val="1"/>
      <w:numFmt w:val="lowerLetter"/>
      <w:lvlText w:val="%5."/>
      <w:lvlJc w:val="left"/>
      <w:pPr>
        <w:tabs>
          <w:tab w:val="num" w:pos="3912"/>
        </w:tabs>
        <w:ind w:left="3912" w:hanging="360"/>
      </w:pPr>
    </w:lvl>
    <w:lvl w:ilvl="5" w:tplc="0405001B" w:tentative="1">
      <w:start w:val="1"/>
      <w:numFmt w:val="lowerRoman"/>
      <w:lvlText w:val="%6."/>
      <w:lvlJc w:val="right"/>
      <w:pPr>
        <w:tabs>
          <w:tab w:val="num" w:pos="4632"/>
        </w:tabs>
        <w:ind w:left="4632" w:hanging="180"/>
      </w:pPr>
    </w:lvl>
    <w:lvl w:ilvl="6" w:tplc="0405000F" w:tentative="1">
      <w:start w:val="1"/>
      <w:numFmt w:val="decimal"/>
      <w:lvlText w:val="%7."/>
      <w:lvlJc w:val="left"/>
      <w:pPr>
        <w:tabs>
          <w:tab w:val="num" w:pos="5352"/>
        </w:tabs>
        <w:ind w:left="5352" w:hanging="360"/>
      </w:pPr>
    </w:lvl>
    <w:lvl w:ilvl="7" w:tplc="04050019" w:tentative="1">
      <w:start w:val="1"/>
      <w:numFmt w:val="lowerLetter"/>
      <w:lvlText w:val="%8."/>
      <w:lvlJc w:val="left"/>
      <w:pPr>
        <w:tabs>
          <w:tab w:val="num" w:pos="6072"/>
        </w:tabs>
        <w:ind w:left="6072" w:hanging="360"/>
      </w:pPr>
    </w:lvl>
    <w:lvl w:ilvl="8" w:tplc="0405001B" w:tentative="1">
      <w:start w:val="1"/>
      <w:numFmt w:val="lowerRoman"/>
      <w:lvlText w:val="%9."/>
      <w:lvlJc w:val="right"/>
      <w:pPr>
        <w:tabs>
          <w:tab w:val="num" w:pos="6792"/>
        </w:tabs>
        <w:ind w:left="6792" w:hanging="180"/>
      </w:pPr>
    </w:lvl>
  </w:abstractNum>
  <w:abstractNum w:abstractNumId="10" w15:restartNumberingAfterBreak="0">
    <w:nsid w:val="2A6C25F1"/>
    <w:multiLevelType w:val="hybridMultilevel"/>
    <w:tmpl w:val="78D890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70710"/>
    <w:multiLevelType w:val="hybridMultilevel"/>
    <w:tmpl w:val="1E3C2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5E18DE"/>
    <w:multiLevelType w:val="hybridMultilevel"/>
    <w:tmpl w:val="E22EBD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8942A7"/>
    <w:multiLevelType w:val="hybridMultilevel"/>
    <w:tmpl w:val="836ADC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154E7A"/>
    <w:multiLevelType w:val="hybridMultilevel"/>
    <w:tmpl w:val="87F06318"/>
    <w:lvl w:ilvl="0" w:tplc="DD34D0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C173D1"/>
    <w:multiLevelType w:val="hybridMultilevel"/>
    <w:tmpl w:val="AC2A5FF0"/>
    <w:lvl w:ilvl="0" w:tplc="13449550">
      <w:start w:val="1"/>
      <w:numFmt w:val="decimal"/>
      <w:lvlText w:val="%1."/>
      <w:lvlJc w:val="left"/>
      <w:pPr>
        <w:tabs>
          <w:tab w:val="num" w:pos="720"/>
        </w:tabs>
        <w:ind w:left="720" w:hanging="360"/>
      </w:pPr>
      <w:rPr>
        <w:rFonts w:hint="default"/>
        <w:b w:val="0"/>
      </w:rPr>
    </w:lvl>
    <w:lvl w:ilvl="1" w:tplc="0302A4CE">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73A67"/>
    <w:multiLevelType w:val="hybridMultilevel"/>
    <w:tmpl w:val="DF623CF8"/>
    <w:lvl w:ilvl="0" w:tplc="A042A1C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2C4EF1"/>
    <w:multiLevelType w:val="hybridMultilevel"/>
    <w:tmpl w:val="37285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7517D1"/>
    <w:multiLevelType w:val="hybridMultilevel"/>
    <w:tmpl w:val="0A746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816371"/>
    <w:multiLevelType w:val="multilevel"/>
    <w:tmpl w:val="64F47E12"/>
    <w:lvl w:ilvl="0">
      <w:start w:val="9"/>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0" w15:restartNumberingAfterBreak="0">
    <w:nsid w:val="3DD8529A"/>
    <w:multiLevelType w:val="hybridMultilevel"/>
    <w:tmpl w:val="C890B2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79297A"/>
    <w:multiLevelType w:val="hybridMultilevel"/>
    <w:tmpl w:val="16F62BBC"/>
    <w:lvl w:ilvl="0" w:tplc="450427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A3580C"/>
    <w:multiLevelType w:val="hybridMultilevel"/>
    <w:tmpl w:val="A73070D2"/>
    <w:lvl w:ilvl="0" w:tplc="DD34D06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854325"/>
    <w:multiLevelType w:val="hybridMultilevel"/>
    <w:tmpl w:val="248E9E74"/>
    <w:lvl w:ilvl="0" w:tplc="1E4EE602">
      <w:start w:val="2"/>
      <w:numFmt w:val="decimal"/>
      <w:lvlText w:val="%1."/>
      <w:lvlJc w:val="left"/>
      <w:pPr>
        <w:tabs>
          <w:tab w:val="num" w:pos="405"/>
        </w:tabs>
        <w:ind w:left="405" w:hanging="360"/>
      </w:pPr>
      <w:rPr>
        <w:rFonts w:hint="default"/>
      </w:rPr>
    </w:lvl>
    <w:lvl w:ilvl="1" w:tplc="04050019">
      <w:start w:val="1"/>
      <w:numFmt w:val="lowerLetter"/>
      <w:lvlText w:val="%2."/>
      <w:lvlJc w:val="left"/>
      <w:pPr>
        <w:ind w:left="672" w:hanging="360"/>
      </w:pPr>
    </w:lvl>
    <w:lvl w:ilvl="2" w:tplc="ED685CA2">
      <w:start w:val="1"/>
      <w:numFmt w:val="bullet"/>
      <w:lvlText w:val="-"/>
      <w:lvlJc w:val="left"/>
      <w:pPr>
        <w:ind w:left="2160" w:hanging="18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C0038D"/>
    <w:multiLevelType w:val="hybridMultilevel"/>
    <w:tmpl w:val="37E48F18"/>
    <w:lvl w:ilvl="0" w:tplc="DD34D060">
      <w:start w:val="1"/>
      <w:numFmt w:val="decimal"/>
      <w:lvlText w:val="%1."/>
      <w:lvlJc w:val="left"/>
      <w:pPr>
        <w:tabs>
          <w:tab w:val="num" w:pos="1032"/>
        </w:tabs>
        <w:ind w:left="1032" w:hanging="360"/>
      </w:pPr>
      <w:rPr>
        <w:rFonts w:hint="default"/>
      </w:rPr>
    </w:lvl>
    <w:lvl w:ilvl="1" w:tplc="04050019">
      <w:start w:val="1"/>
      <w:numFmt w:val="lowerLetter"/>
      <w:lvlText w:val="%2."/>
      <w:lvlJc w:val="left"/>
      <w:pPr>
        <w:tabs>
          <w:tab w:val="num" w:pos="1752"/>
        </w:tabs>
        <w:ind w:left="1752" w:hanging="360"/>
      </w:pPr>
    </w:lvl>
    <w:lvl w:ilvl="2" w:tplc="0405001B" w:tentative="1">
      <w:start w:val="1"/>
      <w:numFmt w:val="lowerRoman"/>
      <w:lvlText w:val="%3."/>
      <w:lvlJc w:val="right"/>
      <w:pPr>
        <w:tabs>
          <w:tab w:val="num" w:pos="2472"/>
        </w:tabs>
        <w:ind w:left="2472" w:hanging="180"/>
      </w:pPr>
    </w:lvl>
    <w:lvl w:ilvl="3" w:tplc="0405000F" w:tentative="1">
      <w:start w:val="1"/>
      <w:numFmt w:val="decimal"/>
      <w:lvlText w:val="%4."/>
      <w:lvlJc w:val="left"/>
      <w:pPr>
        <w:tabs>
          <w:tab w:val="num" w:pos="3192"/>
        </w:tabs>
        <w:ind w:left="3192" w:hanging="360"/>
      </w:pPr>
    </w:lvl>
    <w:lvl w:ilvl="4" w:tplc="04050019" w:tentative="1">
      <w:start w:val="1"/>
      <w:numFmt w:val="lowerLetter"/>
      <w:lvlText w:val="%5."/>
      <w:lvlJc w:val="left"/>
      <w:pPr>
        <w:tabs>
          <w:tab w:val="num" w:pos="3912"/>
        </w:tabs>
        <w:ind w:left="3912" w:hanging="360"/>
      </w:pPr>
    </w:lvl>
    <w:lvl w:ilvl="5" w:tplc="0405001B" w:tentative="1">
      <w:start w:val="1"/>
      <w:numFmt w:val="lowerRoman"/>
      <w:lvlText w:val="%6."/>
      <w:lvlJc w:val="right"/>
      <w:pPr>
        <w:tabs>
          <w:tab w:val="num" w:pos="4632"/>
        </w:tabs>
        <w:ind w:left="4632" w:hanging="180"/>
      </w:pPr>
    </w:lvl>
    <w:lvl w:ilvl="6" w:tplc="0405000F" w:tentative="1">
      <w:start w:val="1"/>
      <w:numFmt w:val="decimal"/>
      <w:lvlText w:val="%7."/>
      <w:lvlJc w:val="left"/>
      <w:pPr>
        <w:tabs>
          <w:tab w:val="num" w:pos="5352"/>
        </w:tabs>
        <w:ind w:left="5352" w:hanging="360"/>
      </w:pPr>
    </w:lvl>
    <w:lvl w:ilvl="7" w:tplc="04050019" w:tentative="1">
      <w:start w:val="1"/>
      <w:numFmt w:val="lowerLetter"/>
      <w:lvlText w:val="%8."/>
      <w:lvlJc w:val="left"/>
      <w:pPr>
        <w:tabs>
          <w:tab w:val="num" w:pos="6072"/>
        </w:tabs>
        <w:ind w:left="6072" w:hanging="360"/>
      </w:pPr>
    </w:lvl>
    <w:lvl w:ilvl="8" w:tplc="0405001B" w:tentative="1">
      <w:start w:val="1"/>
      <w:numFmt w:val="lowerRoman"/>
      <w:lvlText w:val="%9."/>
      <w:lvlJc w:val="right"/>
      <w:pPr>
        <w:tabs>
          <w:tab w:val="num" w:pos="6792"/>
        </w:tabs>
        <w:ind w:left="6792" w:hanging="180"/>
      </w:pPr>
    </w:lvl>
  </w:abstractNum>
  <w:abstractNum w:abstractNumId="25" w15:restartNumberingAfterBreak="0">
    <w:nsid w:val="502C6F84"/>
    <w:multiLevelType w:val="hybridMultilevel"/>
    <w:tmpl w:val="B22A7148"/>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E90C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F5620C"/>
    <w:multiLevelType w:val="multilevel"/>
    <w:tmpl w:val="511C18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A1608A"/>
    <w:multiLevelType w:val="hybridMultilevel"/>
    <w:tmpl w:val="C2525A0A"/>
    <w:lvl w:ilvl="0" w:tplc="04050019">
      <w:start w:val="1"/>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15:restartNumberingAfterBreak="0">
    <w:nsid w:val="58D06C1C"/>
    <w:multiLevelType w:val="hybridMultilevel"/>
    <w:tmpl w:val="5AC26236"/>
    <w:lvl w:ilvl="0" w:tplc="3B465AFA">
      <w:start w:val="1"/>
      <w:numFmt w:val="decimal"/>
      <w:lvlText w:val="%1."/>
      <w:lvlJc w:val="left"/>
      <w:pPr>
        <w:tabs>
          <w:tab w:val="num" w:pos="720"/>
        </w:tabs>
        <w:ind w:left="720" w:hanging="360"/>
      </w:pPr>
      <w:rPr>
        <w:rFonts w:hint="default"/>
      </w:rPr>
    </w:lvl>
    <w:lvl w:ilvl="1" w:tplc="04050019">
      <w:start w:val="1"/>
      <w:numFmt w:val="lowerLetter"/>
      <w:lvlText w:val="%2."/>
      <w:lvlJc w:val="left"/>
      <w:pPr>
        <w:ind w:left="672" w:hanging="360"/>
      </w:pPr>
    </w:lvl>
    <w:lvl w:ilvl="2" w:tplc="ED685CA2">
      <w:start w:val="1"/>
      <w:numFmt w:val="bullet"/>
      <w:lvlText w:val="-"/>
      <w:lvlJc w:val="left"/>
      <w:pPr>
        <w:ind w:left="2160" w:hanging="18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9C5231"/>
    <w:multiLevelType w:val="multilevel"/>
    <w:tmpl w:val="0405001F"/>
    <w:lvl w:ilvl="0">
      <w:start w:val="1"/>
      <w:numFmt w:val="decimal"/>
      <w:lvlText w:val="%1."/>
      <w:lvlJc w:val="left"/>
      <w:pPr>
        <w:tabs>
          <w:tab w:val="num" w:pos="672"/>
        </w:tabs>
        <w:ind w:left="672" w:hanging="360"/>
      </w:pPr>
      <w:rPr>
        <w:rFonts w:hint="default"/>
      </w:rPr>
    </w:lvl>
    <w:lvl w:ilvl="1">
      <w:start w:val="1"/>
      <w:numFmt w:val="decimal"/>
      <w:lvlText w:val="%1.%2."/>
      <w:lvlJc w:val="left"/>
      <w:pPr>
        <w:tabs>
          <w:tab w:val="num" w:pos="1104"/>
        </w:tabs>
        <w:ind w:left="1104" w:hanging="432"/>
      </w:pPr>
    </w:lvl>
    <w:lvl w:ilvl="2">
      <w:start w:val="1"/>
      <w:numFmt w:val="decimal"/>
      <w:lvlText w:val="%1.%2.%3."/>
      <w:lvlJc w:val="left"/>
      <w:pPr>
        <w:tabs>
          <w:tab w:val="num" w:pos="1752"/>
        </w:tabs>
        <w:ind w:left="1536" w:hanging="504"/>
      </w:pPr>
    </w:lvl>
    <w:lvl w:ilvl="3">
      <w:start w:val="1"/>
      <w:numFmt w:val="decimal"/>
      <w:lvlText w:val="%1.%2.%3.%4."/>
      <w:lvlJc w:val="left"/>
      <w:pPr>
        <w:tabs>
          <w:tab w:val="num" w:pos="2112"/>
        </w:tabs>
        <w:ind w:left="2040" w:hanging="648"/>
      </w:pPr>
    </w:lvl>
    <w:lvl w:ilvl="4">
      <w:start w:val="1"/>
      <w:numFmt w:val="decimal"/>
      <w:lvlText w:val="%1.%2.%3.%4.%5."/>
      <w:lvlJc w:val="left"/>
      <w:pPr>
        <w:tabs>
          <w:tab w:val="num" w:pos="2832"/>
        </w:tabs>
        <w:ind w:left="2544" w:hanging="792"/>
      </w:pPr>
    </w:lvl>
    <w:lvl w:ilvl="5">
      <w:start w:val="1"/>
      <w:numFmt w:val="decimal"/>
      <w:lvlText w:val="%1.%2.%3.%4.%5.%6."/>
      <w:lvlJc w:val="left"/>
      <w:pPr>
        <w:tabs>
          <w:tab w:val="num" w:pos="3192"/>
        </w:tabs>
        <w:ind w:left="3048" w:hanging="936"/>
      </w:pPr>
    </w:lvl>
    <w:lvl w:ilvl="6">
      <w:start w:val="1"/>
      <w:numFmt w:val="decimal"/>
      <w:lvlText w:val="%1.%2.%3.%4.%5.%6.%7."/>
      <w:lvlJc w:val="left"/>
      <w:pPr>
        <w:tabs>
          <w:tab w:val="num" w:pos="3912"/>
        </w:tabs>
        <w:ind w:left="3552" w:hanging="1080"/>
      </w:pPr>
    </w:lvl>
    <w:lvl w:ilvl="7">
      <w:start w:val="1"/>
      <w:numFmt w:val="decimal"/>
      <w:lvlText w:val="%1.%2.%3.%4.%5.%6.%7.%8."/>
      <w:lvlJc w:val="left"/>
      <w:pPr>
        <w:tabs>
          <w:tab w:val="num" w:pos="4272"/>
        </w:tabs>
        <w:ind w:left="4056" w:hanging="1224"/>
      </w:pPr>
    </w:lvl>
    <w:lvl w:ilvl="8">
      <w:start w:val="1"/>
      <w:numFmt w:val="decimal"/>
      <w:lvlText w:val="%1.%2.%3.%4.%5.%6.%7.%8.%9."/>
      <w:lvlJc w:val="left"/>
      <w:pPr>
        <w:tabs>
          <w:tab w:val="num" w:pos="4992"/>
        </w:tabs>
        <w:ind w:left="4632" w:hanging="1440"/>
      </w:pPr>
    </w:lvl>
  </w:abstractNum>
  <w:abstractNum w:abstractNumId="31" w15:restartNumberingAfterBreak="0">
    <w:nsid w:val="5B2679F4"/>
    <w:multiLevelType w:val="multilevel"/>
    <w:tmpl w:val="A3AA6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2F0C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837DA"/>
    <w:multiLevelType w:val="hybridMultilevel"/>
    <w:tmpl w:val="994EE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060E0A"/>
    <w:multiLevelType w:val="hybridMultilevel"/>
    <w:tmpl w:val="85A0BC78"/>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6F1C1E"/>
    <w:multiLevelType w:val="hybridMultilevel"/>
    <w:tmpl w:val="076C1216"/>
    <w:lvl w:ilvl="0" w:tplc="02AA8228">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CB6FBF"/>
    <w:multiLevelType w:val="hybridMultilevel"/>
    <w:tmpl w:val="ADB81E26"/>
    <w:lvl w:ilvl="0" w:tplc="D5769B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8348AC"/>
    <w:multiLevelType w:val="hybridMultilevel"/>
    <w:tmpl w:val="6B3E9574"/>
    <w:lvl w:ilvl="0" w:tplc="D7347CAC">
      <w:start w:val="1"/>
      <w:numFmt w:val="decimal"/>
      <w:lvlText w:val="%1."/>
      <w:lvlJc w:val="left"/>
      <w:pPr>
        <w:tabs>
          <w:tab w:val="num" w:pos="405"/>
        </w:tabs>
        <w:ind w:left="405" w:hanging="360"/>
      </w:pPr>
      <w:rPr>
        <w:rFonts w:hint="default"/>
      </w:rPr>
    </w:lvl>
    <w:lvl w:ilvl="1" w:tplc="9F16BD36">
      <w:start w:val="1"/>
      <w:numFmt w:val="lowerLetter"/>
      <w:lvlText w:val="%2."/>
      <w:lvlJc w:val="left"/>
      <w:pPr>
        <w:tabs>
          <w:tab w:val="num" w:pos="1440"/>
        </w:tabs>
        <w:ind w:left="1440" w:hanging="360"/>
      </w:pPr>
      <w:rPr>
        <w:strike w:val="0"/>
        <w:color w:val="auto"/>
      </w:rPr>
    </w:lvl>
    <w:lvl w:ilvl="2" w:tplc="ED685CA2">
      <w:start w:val="1"/>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B9E6B6B"/>
    <w:multiLevelType w:val="hybridMultilevel"/>
    <w:tmpl w:val="6910259C"/>
    <w:lvl w:ilvl="0" w:tplc="0C6026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2F6196"/>
    <w:multiLevelType w:val="hybridMultilevel"/>
    <w:tmpl w:val="C5361D9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7644CC"/>
    <w:multiLevelType w:val="multilevel"/>
    <w:tmpl w:val="364EC4B2"/>
    <w:lvl w:ilvl="0">
      <w:start w:val="1"/>
      <w:numFmt w:val="decimal"/>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CE64B18"/>
    <w:multiLevelType w:val="hybridMultilevel"/>
    <w:tmpl w:val="6F568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1518308">
    <w:abstractNumId w:val="1"/>
  </w:num>
  <w:num w:numId="2" w16cid:durableId="2039620655">
    <w:abstractNumId w:val="25"/>
  </w:num>
  <w:num w:numId="3" w16cid:durableId="383455299">
    <w:abstractNumId w:val="14"/>
  </w:num>
  <w:num w:numId="4" w16cid:durableId="321586825">
    <w:abstractNumId w:val="22"/>
  </w:num>
  <w:num w:numId="5" w16cid:durableId="464129114">
    <w:abstractNumId w:val="15"/>
  </w:num>
  <w:num w:numId="6" w16cid:durableId="873425516">
    <w:abstractNumId w:val="30"/>
  </w:num>
  <w:num w:numId="7" w16cid:durableId="1878420785">
    <w:abstractNumId w:val="40"/>
  </w:num>
  <w:num w:numId="8" w16cid:durableId="1015352563">
    <w:abstractNumId w:val="37"/>
  </w:num>
  <w:num w:numId="9" w16cid:durableId="1956710474">
    <w:abstractNumId w:val="34"/>
  </w:num>
  <w:num w:numId="10" w16cid:durableId="1343050484">
    <w:abstractNumId w:val="28"/>
  </w:num>
  <w:num w:numId="11" w16cid:durableId="2032804481">
    <w:abstractNumId w:val="9"/>
  </w:num>
  <w:num w:numId="12" w16cid:durableId="454063483">
    <w:abstractNumId w:val="24"/>
  </w:num>
  <w:num w:numId="13" w16cid:durableId="205412275">
    <w:abstractNumId w:val="38"/>
  </w:num>
  <w:num w:numId="14" w16cid:durableId="888102942">
    <w:abstractNumId w:val="35"/>
  </w:num>
  <w:num w:numId="15" w16cid:durableId="998849760">
    <w:abstractNumId w:val="21"/>
  </w:num>
  <w:num w:numId="16" w16cid:durableId="1440366914">
    <w:abstractNumId w:val="23"/>
  </w:num>
  <w:num w:numId="17" w16cid:durableId="1932004862">
    <w:abstractNumId w:val="29"/>
  </w:num>
  <w:num w:numId="18" w16cid:durableId="1886134366">
    <w:abstractNumId w:val="31"/>
  </w:num>
  <w:num w:numId="19" w16cid:durableId="1848056511">
    <w:abstractNumId w:val="27"/>
  </w:num>
  <w:num w:numId="20" w16cid:durableId="610550270">
    <w:abstractNumId w:val="11"/>
  </w:num>
  <w:num w:numId="21" w16cid:durableId="757872781">
    <w:abstractNumId w:val="10"/>
  </w:num>
  <w:num w:numId="22" w16cid:durableId="1246182131">
    <w:abstractNumId w:val="26"/>
  </w:num>
  <w:num w:numId="23" w16cid:durableId="1324161670">
    <w:abstractNumId w:val="32"/>
  </w:num>
  <w:num w:numId="24" w16cid:durableId="377978361">
    <w:abstractNumId w:val="19"/>
  </w:num>
  <w:num w:numId="25" w16cid:durableId="1198087131">
    <w:abstractNumId w:val="39"/>
  </w:num>
  <w:num w:numId="26" w16cid:durableId="372927841">
    <w:abstractNumId w:val="17"/>
  </w:num>
  <w:num w:numId="27" w16cid:durableId="465393917">
    <w:abstractNumId w:val="7"/>
  </w:num>
  <w:num w:numId="28" w16cid:durableId="1056010272">
    <w:abstractNumId w:val="2"/>
  </w:num>
  <w:num w:numId="29" w16cid:durableId="1710912992">
    <w:abstractNumId w:val="13"/>
  </w:num>
  <w:num w:numId="30" w16cid:durableId="352540351">
    <w:abstractNumId w:val="8"/>
  </w:num>
  <w:num w:numId="31" w16cid:durableId="144784093">
    <w:abstractNumId w:val="18"/>
  </w:num>
  <w:num w:numId="32" w16cid:durableId="310252454">
    <w:abstractNumId w:val="6"/>
  </w:num>
  <w:num w:numId="33" w16cid:durableId="445275277">
    <w:abstractNumId w:val="3"/>
  </w:num>
  <w:num w:numId="34" w16cid:durableId="1273979508">
    <w:abstractNumId w:val="0"/>
  </w:num>
  <w:num w:numId="35" w16cid:durableId="1063483720">
    <w:abstractNumId w:val="33"/>
  </w:num>
  <w:num w:numId="36" w16cid:durableId="421731095">
    <w:abstractNumId w:val="36"/>
  </w:num>
  <w:num w:numId="37" w16cid:durableId="1583487230">
    <w:abstractNumId w:val="12"/>
  </w:num>
  <w:num w:numId="38" w16cid:durableId="1705521074">
    <w:abstractNumId w:val="16"/>
  </w:num>
  <w:num w:numId="39" w16cid:durableId="1097679477">
    <w:abstractNumId w:val="20"/>
  </w:num>
  <w:num w:numId="40" w16cid:durableId="1305115372">
    <w:abstractNumId w:val="4"/>
  </w:num>
  <w:num w:numId="41" w16cid:durableId="1696030934">
    <w:abstractNumId w:val="41"/>
  </w:num>
  <w:num w:numId="42" w16cid:durableId="1783526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3A"/>
    <w:rsid w:val="00004966"/>
    <w:rsid w:val="000155D4"/>
    <w:rsid w:val="00034493"/>
    <w:rsid w:val="0005747A"/>
    <w:rsid w:val="00063B4B"/>
    <w:rsid w:val="0009751D"/>
    <w:rsid w:val="000B27A1"/>
    <w:rsid w:val="000C5377"/>
    <w:rsid w:val="000D7324"/>
    <w:rsid w:val="000E3402"/>
    <w:rsid w:val="00114B82"/>
    <w:rsid w:val="00117208"/>
    <w:rsid w:val="00126B4D"/>
    <w:rsid w:val="0014498A"/>
    <w:rsid w:val="001721E7"/>
    <w:rsid w:val="00182AD4"/>
    <w:rsid w:val="001A6FC8"/>
    <w:rsid w:val="001F0EEC"/>
    <w:rsid w:val="00203C58"/>
    <w:rsid w:val="0020667A"/>
    <w:rsid w:val="00206F74"/>
    <w:rsid w:val="00230865"/>
    <w:rsid w:val="00245F9D"/>
    <w:rsid w:val="00285680"/>
    <w:rsid w:val="00286FEF"/>
    <w:rsid w:val="00292FC6"/>
    <w:rsid w:val="002A48D0"/>
    <w:rsid w:val="002B6468"/>
    <w:rsid w:val="002F0947"/>
    <w:rsid w:val="00303374"/>
    <w:rsid w:val="00304A4A"/>
    <w:rsid w:val="003156D2"/>
    <w:rsid w:val="00337BE8"/>
    <w:rsid w:val="0037654F"/>
    <w:rsid w:val="00377DA9"/>
    <w:rsid w:val="00383980"/>
    <w:rsid w:val="00394A01"/>
    <w:rsid w:val="003B39B3"/>
    <w:rsid w:val="003C23ED"/>
    <w:rsid w:val="003D0E28"/>
    <w:rsid w:val="003D1BFE"/>
    <w:rsid w:val="003F49D5"/>
    <w:rsid w:val="00401C17"/>
    <w:rsid w:val="0042497F"/>
    <w:rsid w:val="00445C13"/>
    <w:rsid w:val="00445E2A"/>
    <w:rsid w:val="004710B4"/>
    <w:rsid w:val="00475B69"/>
    <w:rsid w:val="00475F34"/>
    <w:rsid w:val="00490F49"/>
    <w:rsid w:val="004A2AB8"/>
    <w:rsid w:val="004E34BF"/>
    <w:rsid w:val="004F631B"/>
    <w:rsid w:val="004F753B"/>
    <w:rsid w:val="00500111"/>
    <w:rsid w:val="005110D3"/>
    <w:rsid w:val="00516C42"/>
    <w:rsid w:val="005957A5"/>
    <w:rsid w:val="005A67D5"/>
    <w:rsid w:val="005C1977"/>
    <w:rsid w:val="005C2C29"/>
    <w:rsid w:val="005C63E9"/>
    <w:rsid w:val="005D3DB4"/>
    <w:rsid w:val="005E46CD"/>
    <w:rsid w:val="005F1358"/>
    <w:rsid w:val="0061681B"/>
    <w:rsid w:val="00631FE4"/>
    <w:rsid w:val="006522C0"/>
    <w:rsid w:val="00654146"/>
    <w:rsid w:val="0067631C"/>
    <w:rsid w:val="006A1BCA"/>
    <w:rsid w:val="006F06BE"/>
    <w:rsid w:val="006F24D7"/>
    <w:rsid w:val="006F714F"/>
    <w:rsid w:val="007022A5"/>
    <w:rsid w:val="00763FEC"/>
    <w:rsid w:val="007643E8"/>
    <w:rsid w:val="007928ED"/>
    <w:rsid w:val="007A7E3A"/>
    <w:rsid w:val="007C022F"/>
    <w:rsid w:val="00820A1D"/>
    <w:rsid w:val="0083768E"/>
    <w:rsid w:val="008607D5"/>
    <w:rsid w:val="00864D86"/>
    <w:rsid w:val="008739EB"/>
    <w:rsid w:val="008758D8"/>
    <w:rsid w:val="0088596C"/>
    <w:rsid w:val="00894898"/>
    <w:rsid w:val="008B47E2"/>
    <w:rsid w:val="008B71CF"/>
    <w:rsid w:val="008D6A86"/>
    <w:rsid w:val="00921CFD"/>
    <w:rsid w:val="009237E1"/>
    <w:rsid w:val="00923C25"/>
    <w:rsid w:val="0093344A"/>
    <w:rsid w:val="00950AEC"/>
    <w:rsid w:val="00966B92"/>
    <w:rsid w:val="009A6C01"/>
    <w:rsid w:val="009C3964"/>
    <w:rsid w:val="009C7575"/>
    <w:rsid w:val="009D0CA9"/>
    <w:rsid w:val="009E09C5"/>
    <w:rsid w:val="00A20E99"/>
    <w:rsid w:val="00A30CB7"/>
    <w:rsid w:val="00A45292"/>
    <w:rsid w:val="00A71AFA"/>
    <w:rsid w:val="00A732FC"/>
    <w:rsid w:val="00A77E12"/>
    <w:rsid w:val="00A83BD6"/>
    <w:rsid w:val="00A86C96"/>
    <w:rsid w:val="00A9241D"/>
    <w:rsid w:val="00AB349D"/>
    <w:rsid w:val="00AD404E"/>
    <w:rsid w:val="00B22901"/>
    <w:rsid w:val="00B272B9"/>
    <w:rsid w:val="00B305F7"/>
    <w:rsid w:val="00B726C9"/>
    <w:rsid w:val="00B81A00"/>
    <w:rsid w:val="00B94DB6"/>
    <w:rsid w:val="00C3403C"/>
    <w:rsid w:val="00C416A4"/>
    <w:rsid w:val="00C649F2"/>
    <w:rsid w:val="00C72E25"/>
    <w:rsid w:val="00C87FB2"/>
    <w:rsid w:val="00CA1337"/>
    <w:rsid w:val="00CA1F20"/>
    <w:rsid w:val="00CA783A"/>
    <w:rsid w:val="00CC0BCE"/>
    <w:rsid w:val="00CD1168"/>
    <w:rsid w:val="00CD46E8"/>
    <w:rsid w:val="00D078A0"/>
    <w:rsid w:val="00D11B95"/>
    <w:rsid w:val="00D13002"/>
    <w:rsid w:val="00D14A14"/>
    <w:rsid w:val="00D55246"/>
    <w:rsid w:val="00D670DD"/>
    <w:rsid w:val="00D72FB8"/>
    <w:rsid w:val="00D80F13"/>
    <w:rsid w:val="00DE6291"/>
    <w:rsid w:val="00DF31EB"/>
    <w:rsid w:val="00DF53C8"/>
    <w:rsid w:val="00E13F02"/>
    <w:rsid w:val="00E358CC"/>
    <w:rsid w:val="00E64A13"/>
    <w:rsid w:val="00EC78DB"/>
    <w:rsid w:val="00ED04E7"/>
    <w:rsid w:val="00ED7272"/>
    <w:rsid w:val="00EE0A5F"/>
    <w:rsid w:val="00EF3AB4"/>
    <w:rsid w:val="00EF5E98"/>
    <w:rsid w:val="00F07EB5"/>
    <w:rsid w:val="00F31B13"/>
    <w:rsid w:val="00F371C2"/>
    <w:rsid w:val="00F56FE3"/>
    <w:rsid w:val="00F86BD3"/>
    <w:rsid w:val="00FA345E"/>
    <w:rsid w:val="00FD309A"/>
    <w:rsid w:val="00FD396E"/>
    <w:rsid w:val="00FE2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7EA7C"/>
  <w15:docId w15:val="{A52174FB-3865-4580-A78D-D8F0C2A9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9A6C01"/>
    <w:pPr>
      <w:keepNext/>
      <w:numPr>
        <w:numId w:val="1"/>
      </w:numPr>
      <w:spacing w:before="120" w:after="0" w:line="240" w:lineRule="auto"/>
      <w:jc w:val="center"/>
      <w:outlineLvl w:val="0"/>
    </w:pPr>
    <w:rPr>
      <w:rFonts w:ascii="Arial" w:eastAsia="Times New Roman" w:hAnsi="Arial" w:cs="Arial"/>
      <w:b/>
      <w:bCs/>
      <w:sz w:val="12"/>
      <w:szCs w:val="12"/>
      <w:lang w:eastAsia="cs-CZ"/>
    </w:rPr>
  </w:style>
  <w:style w:type="paragraph" w:styleId="Nadpis2">
    <w:name w:val="heading 2"/>
    <w:basedOn w:val="Normln"/>
    <w:next w:val="Normln"/>
    <w:link w:val="Nadpis2Char"/>
    <w:qFormat/>
    <w:rsid w:val="009A6C01"/>
    <w:pPr>
      <w:numPr>
        <w:ilvl w:val="1"/>
        <w:numId w:val="1"/>
      </w:numPr>
      <w:spacing w:after="0" w:line="240" w:lineRule="auto"/>
      <w:jc w:val="both"/>
      <w:outlineLvl w:val="1"/>
    </w:pPr>
    <w:rPr>
      <w:rFonts w:ascii="Arial" w:eastAsia="Times New Roman" w:hAnsi="Arial" w:cs="Times New Roman"/>
      <w:bCs/>
      <w:sz w:val="12"/>
      <w:szCs w:val="24"/>
      <w:lang w:eastAsia="cs-CZ"/>
    </w:rPr>
  </w:style>
  <w:style w:type="paragraph" w:styleId="Nadpis3">
    <w:name w:val="heading 3"/>
    <w:basedOn w:val="Normln"/>
    <w:next w:val="Normln"/>
    <w:link w:val="Nadpis3Char"/>
    <w:qFormat/>
    <w:rsid w:val="009A6C01"/>
    <w:pPr>
      <w:numPr>
        <w:ilvl w:val="2"/>
        <w:numId w:val="1"/>
      </w:numPr>
      <w:spacing w:after="0" w:line="240" w:lineRule="auto"/>
      <w:jc w:val="both"/>
      <w:outlineLvl w:val="2"/>
    </w:pPr>
    <w:rPr>
      <w:rFonts w:ascii="Arial" w:eastAsia="Times New Roman" w:hAnsi="Arial" w:cs="Arial"/>
      <w:bCs/>
      <w:sz w:val="12"/>
      <w:szCs w:val="26"/>
      <w:lang w:eastAsia="cs-CZ"/>
    </w:rPr>
  </w:style>
  <w:style w:type="paragraph" w:styleId="Nadpis4">
    <w:name w:val="heading 4"/>
    <w:basedOn w:val="Normln"/>
    <w:next w:val="Normln"/>
    <w:link w:val="Nadpis4Char"/>
    <w:qFormat/>
    <w:rsid w:val="009A6C01"/>
    <w:pPr>
      <w:keepNext/>
      <w:numPr>
        <w:ilvl w:val="3"/>
        <w:numId w:val="1"/>
      </w:numPr>
      <w:spacing w:before="240" w:after="60" w:line="240" w:lineRule="auto"/>
      <w:outlineLvl w:val="3"/>
    </w:pPr>
    <w:rPr>
      <w:rFonts w:ascii="Arial" w:eastAsia="Times New Roman" w:hAnsi="Arial" w:cs="Times New Roman"/>
      <w:b/>
      <w:bCs/>
      <w:sz w:val="28"/>
      <w:szCs w:val="28"/>
      <w:lang w:val="sk-SK" w:eastAsia="cs-CZ"/>
    </w:rPr>
  </w:style>
  <w:style w:type="paragraph" w:styleId="Nadpis5">
    <w:name w:val="heading 5"/>
    <w:basedOn w:val="Normln"/>
    <w:next w:val="Normln"/>
    <w:link w:val="Nadpis5Char"/>
    <w:qFormat/>
    <w:rsid w:val="009A6C01"/>
    <w:pPr>
      <w:numPr>
        <w:ilvl w:val="4"/>
        <w:numId w:val="1"/>
      </w:numPr>
      <w:spacing w:before="240" w:after="60" w:line="240" w:lineRule="auto"/>
      <w:outlineLvl w:val="4"/>
    </w:pPr>
    <w:rPr>
      <w:rFonts w:ascii="Arial" w:eastAsia="Times New Roman" w:hAnsi="Arial" w:cs="Times New Roman"/>
      <w:b/>
      <w:bCs/>
      <w:i/>
      <w:iCs/>
      <w:sz w:val="26"/>
      <w:szCs w:val="26"/>
      <w:lang w:val="sk-SK" w:eastAsia="cs-CZ"/>
    </w:rPr>
  </w:style>
  <w:style w:type="paragraph" w:styleId="Nadpis6">
    <w:name w:val="heading 6"/>
    <w:basedOn w:val="Normln"/>
    <w:next w:val="Normln"/>
    <w:link w:val="Nadpis6Char"/>
    <w:qFormat/>
    <w:rsid w:val="009A6C01"/>
    <w:pPr>
      <w:numPr>
        <w:ilvl w:val="5"/>
        <w:numId w:val="1"/>
      </w:numPr>
      <w:spacing w:before="240" w:after="60" w:line="240" w:lineRule="auto"/>
      <w:outlineLvl w:val="5"/>
    </w:pPr>
    <w:rPr>
      <w:rFonts w:ascii="Arial" w:eastAsia="Times New Roman" w:hAnsi="Arial" w:cs="Times New Roman"/>
      <w:b/>
      <w:bCs/>
      <w:lang w:val="sk-SK" w:eastAsia="cs-CZ"/>
    </w:rPr>
  </w:style>
  <w:style w:type="paragraph" w:styleId="Nadpis7">
    <w:name w:val="heading 7"/>
    <w:basedOn w:val="Normln"/>
    <w:next w:val="Normln"/>
    <w:link w:val="Nadpis7Char"/>
    <w:qFormat/>
    <w:rsid w:val="009A6C01"/>
    <w:pPr>
      <w:numPr>
        <w:ilvl w:val="6"/>
        <w:numId w:val="1"/>
      </w:numPr>
      <w:spacing w:before="240" w:after="60" w:line="240" w:lineRule="auto"/>
      <w:outlineLvl w:val="6"/>
    </w:pPr>
    <w:rPr>
      <w:rFonts w:ascii="Arial" w:eastAsia="Times New Roman" w:hAnsi="Arial" w:cs="Times New Roman"/>
      <w:sz w:val="12"/>
      <w:szCs w:val="24"/>
      <w:lang w:val="sk-SK" w:eastAsia="cs-CZ"/>
    </w:rPr>
  </w:style>
  <w:style w:type="paragraph" w:styleId="Nadpis8">
    <w:name w:val="heading 8"/>
    <w:basedOn w:val="Normln"/>
    <w:next w:val="Normln"/>
    <w:link w:val="Nadpis8Char"/>
    <w:qFormat/>
    <w:rsid w:val="009A6C01"/>
    <w:pPr>
      <w:numPr>
        <w:ilvl w:val="7"/>
        <w:numId w:val="1"/>
      </w:numPr>
      <w:spacing w:before="240" w:after="60" w:line="240" w:lineRule="auto"/>
      <w:outlineLvl w:val="7"/>
    </w:pPr>
    <w:rPr>
      <w:rFonts w:ascii="Arial" w:eastAsia="Times New Roman" w:hAnsi="Arial" w:cs="Times New Roman"/>
      <w:i/>
      <w:iCs/>
      <w:sz w:val="12"/>
      <w:szCs w:val="24"/>
      <w:lang w:val="sk-SK" w:eastAsia="cs-CZ"/>
    </w:rPr>
  </w:style>
  <w:style w:type="paragraph" w:styleId="Nadpis9">
    <w:name w:val="heading 9"/>
    <w:basedOn w:val="Normln"/>
    <w:next w:val="Normln"/>
    <w:link w:val="Nadpis9Char"/>
    <w:qFormat/>
    <w:rsid w:val="009A6C01"/>
    <w:pPr>
      <w:numPr>
        <w:ilvl w:val="8"/>
        <w:numId w:val="1"/>
      </w:numPr>
      <w:spacing w:before="240" w:after="60" w:line="240" w:lineRule="auto"/>
      <w:outlineLvl w:val="8"/>
    </w:pPr>
    <w:rPr>
      <w:rFonts w:ascii="Arial" w:eastAsia="Times New Roman" w:hAnsi="Arial" w:cs="Arial"/>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6C01"/>
    <w:rPr>
      <w:rFonts w:ascii="Arial" w:eastAsia="Times New Roman" w:hAnsi="Arial" w:cs="Arial"/>
      <w:b/>
      <w:bCs/>
      <w:sz w:val="12"/>
      <w:szCs w:val="12"/>
      <w:lang w:eastAsia="cs-CZ"/>
    </w:rPr>
  </w:style>
  <w:style w:type="character" w:customStyle="1" w:styleId="Nadpis2Char">
    <w:name w:val="Nadpis 2 Char"/>
    <w:basedOn w:val="Standardnpsmoodstavce"/>
    <w:link w:val="Nadpis2"/>
    <w:rsid w:val="009A6C01"/>
    <w:rPr>
      <w:rFonts w:ascii="Arial" w:eastAsia="Times New Roman" w:hAnsi="Arial" w:cs="Times New Roman"/>
      <w:bCs/>
      <w:sz w:val="12"/>
      <w:szCs w:val="24"/>
      <w:lang w:eastAsia="cs-CZ"/>
    </w:rPr>
  </w:style>
  <w:style w:type="character" w:customStyle="1" w:styleId="Nadpis3Char">
    <w:name w:val="Nadpis 3 Char"/>
    <w:basedOn w:val="Standardnpsmoodstavce"/>
    <w:link w:val="Nadpis3"/>
    <w:rsid w:val="009A6C01"/>
    <w:rPr>
      <w:rFonts w:ascii="Arial" w:eastAsia="Times New Roman" w:hAnsi="Arial" w:cs="Arial"/>
      <w:bCs/>
      <w:sz w:val="12"/>
      <w:szCs w:val="26"/>
      <w:lang w:eastAsia="cs-CZ"/>
    </w:rPr>
  </w:style>
  <w:style w:type="character" w:customStyle="1" w:styleId="Nadpis4Char">
    <w:name w:val="Nadpis 4 Char"/>
    <w:basedOn w:val="Standardnpsmoodstavce"/>
    <w:link w:val="Nadpis4"/>
    <w:rsid w:val="009A6C01"/>
    <w:rPr>
      <w:rFonts w:ascii="Arial" w:eastAsia="Times New Roman" w:hAnsi="Arial" w:cs="Times New Roman"/>
      <w:b/>
      <w:bCs/>
      <w:sz w:val="28"/>
      <w:szCs w:val="28"/>
      <w:lang w:val="sk-SK" w:eastAsia="cs-CZ"/>
    </w:rPr>
  </w:style>
  <w:style w:type="character" w:customStyle="1" w:styleId="Nadpis5Char">
    <w:name w:val="Nadpis 5 Char"/>
    <w:basedOn w:val="Standardnpsmoodstavce"/>
    <w:link w:val="Nadpis5"/>
    <w:rsid w:val="009A6C01"/>
    <w:rPr>
      <w:rFonts w:ascii="Arial" w:eastAsia="Times New Roman" w:hAnsi="Arial" w:cs="Times New Roman"/>
      <w:b/>
      <w:bCs/>
      <w:i/>
      <w:iCs/>
      <w:sz w:val="26"/>
      <w:szCs w:val="26"/>
      <w:lang w:val="sk-SK" w:eastAsia="cs-CZ"/>
    </w:rPr>
  </w:style>
  <w:style w:type="character" w:customStyle="1" w:styleId="Nadpis6Char">
    <w:name w:val="Nadpis 6 Char"/>
    <w:basedOn w:val="Standardnpsmoodstavce"/>
    <w:link w:val="Nadpis6"/>
    <w:rsid w:val="009A6C01"/>
    <w:rPr>
      <w:rFonts w:ascii="Arial" w:eastAsia="Times New Roman" w:hAnsi="Arial" w:cs="Times New Roman"/>
      <w:b/>
      <w:bCs/>
      <w:lang w:val="sk-SK" w:eastAsia="cs-CZ"/>
    </w:rPr>
  </w:style>
  <w:style w:type="character" w:customStyle="1" w:styleId="Nadpis7Char">
    <w:name w:val="Nadpis 7 Char"/>
    <w:basedOn w:val="Standardnpsmoodstavce"/>
    <w:link w:val="Nadpis7"/>
    <w:rsid w:val="009A6C01"/>
    <w:rPr>
      <w:rFonts w:ascii="Arial" w:eastAsia="Times New Roman" w:hAnsi="Arial" w:cs="Times New Roman"/>
      <w:sz w:val="12"/>
      <w:szCs w:val="24"/>
      <w:lang w:val="sk-SK" w:eastAsia="cs-CZ"/>
    </w:rPr>
  </w:style>
  <w:style w:type="character" w:customStyle="1" w:styleId="Nadpis8Char">
    <w:name w:val="Nadpis 8 Char"/>
    <w:basedOn w:val="Standardnpsmoodstavce"/>
    <w:link w:val="Nadpis8"/>
    <w:rsid w:val="009A6C01"/>
    <w:rPr>
      <w:rFonts w:ascii="Arial" w:eastAsia="Times New Roman" w:hAnsi="Arial" w:cs="Times New Roman"/>
      <w:i/>
      <w:iCs/>
      <w:sz w:val="12"/>
      <w:szCs w:val="24"/>
      <w:lang w:val="sk-SK" w:eastAsia="cs-CZ"/>
    </w:rPr>
  </w:style>
  <w:style w:type="character" w:customStyle="1" w:styleId="Nadpis9Char">
    <w:name w:val="Nadpis 9 Char"/>
    <w:basedOn w:val="Standardnpsmoodstavce"/>
    <w:link w:val="Nadpis9"/>
    <w:rsid w:val="009A6C01"/>
    <w:rPr>
      <w:rFonts w:ascii="Arial" w:eastAsia="Times New Roman" w:hAnsi="Arial" w:cs="Arial"/>
      <w:lang w:val="sk-SK" w:eastAsia="cs-CZ"/>
    </w:rPr>
  </w:style>
  <w:style w:type="character" w:styleId="Odkaznakoment">
    <w:name w:val="annotation reference"/>
    <w:semiHidden/>
    <w:rsid w:val="009A6C01"/>
    <w:rPr>
      <w:sz w:val="16"/>
      <w:szCs w:val="16"/>
    </w:rPr>
  </w:style>
  <w:style w:type="paragraph" w:styleId="Textkomente">
    <w:name w:val="annotation text"/>
    <w:basedOn w:val="Normln"/>
    <w:link w:val="TextkomenteChar"/>
    <w:semiHidden/>
    <w:rsid w:val="009A6C01"/>
    <w:pPr>
      <w:spacing w:after="0" w:line="240" w:lineRule="auto"/>
    </w:pPr>
    <w:rPr>
      <w:rFonts w:ascii="Arial" w:eastAsia="Times New Roman" w:hAnsi="Arial" w:cs="Times New Roman"/>
      <w:sz w:val="20"/>
      <w:szCs w:val="20"/>
      <w:lang w:val="sk-SK" w:eastAsia="cs-CZ"/>
    </w:rPr>
  </w:style>
  <w:style w:type="character" w:customStyle="1" w:styleId="TextkomenteChar">
    <w:name w:val="Text komentáře Char"/>
    <w:basedOn w:val="Standardnpsmoodstavce"/>
    <w:link w:val="Textkomente"/>
    <w:semiHidden/>
    <w:rsid w:val="009A6C01"/>
    <w:rPr>
      <w:rFonts w:ascii="Arial" w:eastAsia="Times New Roman" w:hAnsi="Arial" w:cs="Times New Roman"/>
      <w:sz w:val="20"/>
      <w:szCs w:val="20"/>
      <w:lang w:val="sk-SK" w:eastAsia="cs-CZ"/>
    </w:rPr>
  </w:style>
  <w:style w:type="paragraph" w:styleId="Textbubliny">
    <w:name w:val="Balloon Text"/>
    <w:basedOn w:val="Normln"/>
    <w:link w:val="TextbublinyChar"/>
    <w:uiPriority w:val="99"/>
    <w:semiHidden/>
    <w:unhideWhenUsed/>
    <w:rsid w:val="009A6C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C01"/>
    <w:rPr>
      <w:rFonts w:ascii="Segoe UI" w:hAnsi="Segoe UI" w:cs="Segoe UI"/>
      <w:sz w:val="18"/>
      <w:szCs w:val="18"/>
    </w:rPr>
  </w:style>
  <w:style w:type="character" w:customStyle="1" w:styleId="preformatted">
    <w:name w:val="preformatted"/>
    <w:basedOn w:val="Standardnpsmoodstavce"/>
    <w:rsid w:val="009A6C01"/>
  </w:style>
  <w:style w:type="character" w:customStyle="1" w:styleId="nowrap">
    <w:name w:val="nowrap"/>
    <w:basedOn w:val="Standardnpsmoodstavce"/>
    <w:rsid w:val="009A6C01"/>
  </w:style>
  <w:style w:type="character" w:styleId="Hypertextovodkaz">
    <w:name w:val="Hyperlink"/>
    <w:basedOn w:val="Standardnpsmoodstavce"/>
    <w:rsid w:val="00A30CB7"/>
    <w:rPr>
      <w:color w:val="0000FF"/>
      <w:u w:val="single"/>
    </w:rPr>
  </w:style>
  <w:style w:type="paragraph" w:styleId="Odstavecseseznamem">
    <w:name w:val="List Paragraph"/>
    <w:basedOn w:val="Normln"/>
    <w:uiPriority w:val="34"/>
    <w:qFormat/>
    <w:rsid w:val="005C1977"/>
    <w:pPr>
      <w:spacing w:after="200" w:line="276" w:lineRule="auto"/>
      <w:ind w:left="720"/>
      <w:contextualSpacing/>
    </w:pPr>
    <w:rPr>
      <w:rFonts w:eastAsiaTheme="minorEastAsia"/>
      <w:lang w:eastAsia="cs-CZ"/>
    </w:rPr>
  </w:style>
  <w:style w:type="paragraph" w:styleId="Pedmtkomente">
    <w:name w:val="annotation subject"/>
    <w:basedOn w:val="Textkomente"/>
    <w:next w:val="Textkomente"/>
    <w:link w:val="PedmtkomenteChar"/>
    <w:uiPriority w:val="99"/>
    <w:semiHidden/>
    <w:unhideWhenUsed/>
    <w:rsid w:val="00394A01"/>
    <w:pPr>
      <w:spacing w:after="16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394A01"/>
    <w:rPr>
      <w:rFonts w:ascii="Arial" w:eastAsia="Times New Roman" w:hAnsi="Arial" w:cs="Times New Roman"/>
      <w:b/>
      <w:bCs/>
      <w:sz w:val="20"/>
      <w:szCs w:val="20"/>
      <w:lang w:val="sk-SK" w:eastAsia="cs-CZ"/>
    </w:rPr>
  </w:style>
  <w:style w:type="paragraph" w:styleId="Bezmezer">
    <w:name w:val="No Spacing"/>
    <w:uiPriority w:val="1"/>
    <w:qFormat/>
    <w:rsid w:val="00230865"/>
    <w:pPr>
      <w:spacing w:after="0" w:line="240" w:lineRule="auto"/>
    </w:pPr>
  </w:style>
  <w:style w:type="paragraph" w:styleId="Zhlav">
    <w:name w:val="header"/>
    <w:basedOn w:val="Normln"/>
    <w:link w:val="ZhlavChar"/>
    <w:uiPriority w:val="99"/>
    <w:unhideWhenUsed/>
    <w:rsid w:val="00B229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2901"/>
  </w:style>
  <w:style w:type="paragraph" w:styleId="Zpat">
    <w:name w:val="footer"/>
    <w:basedOn w:val="Normln"/>
    <w:link w:val="ZpatChar"/>
    <w:uiPriority w:val="99"/>
    <w:unhideWhenUsed/>
    <w:rsid w:val="00B22901"/>
    <w:pPr>
      <w:tabs>
        <w:tab w:val="center" w:pos="4536"/>
        <w:tab w:val="right" w:pos="9072"/>
      </w:tabs>
      <w:spacing w:after="0" w:line="240" w:lineRule="auto"/>
    </w:pPr>
  </w:style>
  <w:style w:type="character" w:customStyle="1" w:styleId="ZpatChar">
    <w:name w:val="Zápatí Char"/>
    <w:basedOn w:val="Standardnpsmoodstavce"/>
    <w:link w:val="Zpat"/>
    <w:uiPriority w:val="99"/>
    <w:rsid w:val="00B22901"/>
  </w:style>
  <w:style w:type="paragraph" w:styleId="Revize">
    <w:name w:val="Revision"/>
    <w:hidden/>
    <w:uiPriority w:val="99"/>
    <w:semiHidden/>
    <w:rsid w:val="00B272B9"/>
    <w:pPr>
      <w:spacing w:after="0" w:line="240" w:lineRule="auto"/>
    </w:pPr>
  </w:style>
  <w:style w:type="paragraph" w:styleId="Nzev">
    <w:name w:val="Title"/>
    <w:basedOn w:val="Normln"/>
    <w:next w:val="Normln"/>
    <w:link w:val="NzevChar"/>
    <w:uiPriority w:val="10"/>
    <w:qFormat/>
    <w:rsid w:val="00764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643E8"/>
    <w:rPr>
      <w:rFonts w:asciiTheme="majorHAnsi" w:eastAsiaTheme="majorEastAsia" w:hAnsiTheme="majorHAnsi" w:cstheme="majorBidi"/>
      <w:spacing w:val="-10"/>
      <w:kern w:val="28"/>
      <w:sz w:val="56"/>
      <w:szCs w:val="56"/>
    </w:rPr>
  </w:style>
  <w:style w:type="paragraph" w:styleId="Normlnweb">
    <w:name w:val="Normal (Web)"/>
    <w:basedOn w:val="Normln"/>
    <w:uiPriority w:val="99"/>
    <w:semiHidden/>
    <w:unhideWhenUsed/>
    <w:rsid w:val="0005747A"/>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05747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lamaenergy.cz/wp-content/uploads/2024/04/Oznameni-ceny-web-elektrina-DO_MO_0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hrome-extension://efaidnbmnnnibpcajpcglclefindmkaj/https:/www.lamaenergy.cz/wp-content/uploads/2024/04/Oznameni-ceny-web-plyn-DO.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lama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EE2F-0EDD-4473-95F7-5FAE79F3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4486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tobias@lamagroup.cz</dc:creator>
  <cp:lastModifiedBy>Jaroslav Martínek, PP Partners</cp:lastModifiedBy>
  <cp:revision>3</cp:revision>
  <cp:lastPrinted>2022-07-07T11:42:00Z</cp:lastPrinted>
  <dcterms:created xsi:type="dcterms:W3CDTF">2024-04-17T06:29:00Z</dcterms:created>
  <dcterms:modified xsi:type="dcterms:W3CDTF">2024-04-22T20:03:00Z</dcterms:modified>
</cp:coreProperties>
</file>